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79128">
      <w:pPr>
        <w:tabs>
          <w:tab w:val="center" w:pos="4595"/>
          <w:tab w:val="right" w:pos="9070"/>
        </w:tabs>
        <w:spacing w:before="60" w:after="60" w:line="288" w:lineRule="auto"/>
        <w:jc w:val="center"/>
        <w:rPr>
          <w:rFonts w:hint="default" w:ascii="宋体" w:hAnsi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促黄体生成素标准操作规程</w:t>
      </w:r>
    </w:p>
    <w:p w14:paraId="49487B54">
      <w:pPr>
        <w:tabs>
          <w:tab w:val="right" w:pos="8306"/>
        </w:tabs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 w:val="21"/>
          <w:szCs w:val="21"/>
        </w:rPr>
      </w:pPr>
      <w:r>
        <w:rPr>
          <w:rFonts w:ascii="宋体" w:hAnsi="宋体" w:cs="黑体"/>
          <w:b/>
          <w:bCs/>
          <w:color w:val="000000"/>
          <w:sz w:val="21"/>
          <w:szCs w:val="21"/>
        </w:rPr>
        <w:t xml:space="preserve">1 </w:t>
      </w:r>
      <w:r>
        <w:rPr>
          <w:rFonts w:hint="eastAsia" w:ascii="宋体" w:hAnsi="宋体" w:cs="黑体"/>
          <w:b/>
          <w:bCs/>
          <w:color w:val="000000"/>
          <w:sz w:val="21"/>
          <w:szCs w:val="21"/>
        </w:rPr>
        <w:t>承担部门</w:t>
      </w:r>
      <w:r>
        <w:rPr>
          <w:rFonts w:ascii="宋体" w:hAnsi="宋体" w:cs="黑体"/>
          <w:b/>
          <w:bCs/>
          <w:color w:val="000000"/>
          <w:sz w:val="21"/>
          <w:szCs w:val="21"/>
        </w:rPr>
        <w:tab/>
      </w:r>
    </w:p>
    <w:p w14:paraId="1A2A40EE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default" w:ascii="宋体" w:hAnsi="宋体" w:cs="宋体"/>
          <w:color w:val="000000"/>
          <w:szCs w:val="21"/>
          <w:lang w:val="en-US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t>安亭</w:t>
      </w:r>
      <w:r>
        <w:rPr>
          <w:rFonts w:hint="eastAsia" w:ascii="宋体" w:hAnsi="宋体" w:cs="宋体"/>
          <w:color w:val="000000"/>
          <w:szCs w:val="21"/>
        </w:rPr>
        <w:t>医院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检验</w:t>
      </w:r>
      <w:r>
        <w:rPr>
          <w:rFonts w:hint="eastAsia" w:ascii="宋体" w:hAnsi="宋体" w:cs="宋体"/>
          <w:color w:val="000000"/>
          <w:szCs w:val="21"/>
        </w:rPr>
        <w:t>科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生化免疫</w:t>
      </w:r>
      <w:r>
        <w:rPr>
          <w:rFonts w:hint="eastAsia" w:ascii="宋体" w:hAnsi="宋体" w:cs="宋体"/>
          <w:color w:val="000000"/>
          <w:szCs w:val="21"/>
        </w:rPr>
        <w:t>组。</w:t>
      </w:r>
    </w:p>
    <w:p w14:paraId="0E41FA1E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eastAsia="宋体" w:cs="黑体"/>
          <w:b/>
          <w:bCs/>
          <w:color w:val="000000"/>
          <w:szCs w:val="21"/>
          <w:lang w:eastAsia="zh-CN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2 </w:t>
      </w:r>
      <w:r>
        <w:rPr>
          <w:rFonts w:hint="eastAsia" w:ascii="宋体" w:hAnsi="宋体" w:cs="黑体"/>
          <w:b/>
          <w:bCs/>
          <w:color w:val="000000"/>
          <w:szCs w:val="21"/>
        </w:rPr>
        <w:t>检验目的</w:t>
      </w:r>
    </w:p>
    <w:p w14:paraId="027070B2">
      <w:pPr>
        <w:pStyle w:val="37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规范黄体生成素（luteinizing hormone，LH）的检测实验，确保检测结果的准确性和重复性。</w:t>
      </w:r>
    </w:p>
    <w:p w14:paraId="6D648EAE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3 </w:t>
      </w:r>
      <w:r>
        <w:rPr>
          <w:rFonts w:hint="eastAsia" w:ascii="宋体" w:hAnsi="宋体" w:cs="黑体"/>
          <w:b/>
          <w:bCs/>
          <w:color w:val="000000"/>
          <w:szCs w:val="21"/>
        </w:rPr>
        <w:t>原理和方法</w:t>
      </w:r>
    </w:p>
    <w:p w14:paraId="04A95DAA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0"/>
        <w:jc w:val="both"/>
        <w:textAlignment w:val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化学发光微粒子免疫检测法（CMIA）：</w:t>
      </w:r>
      <w:r>
        <w:rPr>
          <w:rFonts w:hint="eastAsia" w:ascii="宋体" w:hAnsi="宋体" w:eastAsia="宋体" w:cs="宋体"/>
          <w:kern w:val="0"/>
          <w:sz w:val="21"/>
          <w:szCs w:val="21"/>
        </w:rPr>
        <w:t>促黄体生成素项目采用两步法免疫检测法，运用Chemiflex技术，即化学发光微粒子免疫检测(CMIA)技术与灵活的检测模式的结合，定量测定人血清和血浆中促黄体生成素(LH)。</w:t>
      </w:r>
    </w:p>
    <w:p w14:paraId="550FFA1A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>4</w:t>
      </w:r>
      <w:r>
        <w:rPr>
          <w:rFonts w:hint="eastAsia" w:ascii="宋体" w:hAnsi="宋体" w:cs="黑体"/>
          <w:b/>
          <w:bCs/>
          <w:color w:val="auto"/>
          <w:szCs w:val="21"/>
          <w:lang w:val="en-US" w:eastAsia="zh-CN"/>
        </w:rPr>
        <w:t xml:space="preserve"> </w:t>
      </w:r>
      <w:r>
        <w:rPr>
          <w:rFonts w:hint="eastAsia" w:ascii="宋体" w:hAnsi="宋体" w:cs="黑体"/>
          <w:b/>
          <w:bCs/>
          <w:color w:val="auto"/>
          <w:szCs w:val="21"/>
        </w:rPr>
        <w:t>性能特征</w:t>
      </w:r>
    </w:p>
    <w:p w14:paraId="393BB671">
      <w:pPr>
        <w:autoSpaceDE w:val="0"/>
        <w:autoSpaceDN w:val="0"/>
        <w:adjustRightInd w:val="0"/>
        <w:spacing w:after="125"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</w:pPr>
      <w:r>
        <w:rPr>
          <w:rFonts w:ascii="宋体" w:hAnsi="宋体" w:cs="黑体"/>
          <w:color w:val="auto"/>
          <w:szCs w:val="21"/>
        </w:rPr>
        <w:t>4.1</w:t>
      </w:r>
      <w:r>
        <w:rPr>
          <w:rFonts w:hint="eastAsia" w:ascii="宋体" w:hAnsi="宋体"/>
          <w:color w:val="auto"/>
          <w:lang w:val="en-US" w:eastAsia="zh-CN"/>
        </w:rPr>
        <w:t>雅培</w:t>
      </w:r>
      <w:r>
        <w:rPr>
          <w:rFonts w:hint="eastAsia" w:ascii="宋体" w:hAnsi="宋体"/>
          <w:color w:val="auto"/>
        </w:rPr>
        <w:t>Alinity</w:t>
      </w:r>
      <w:r>
        <w:rPr>
          <w:rFonts w:hint="eastAsia" w:ascii="宋体" w:hAnsi="宋体"/>
          <w:color w:val="auto"/>
          <w:lang w:val="en-US" w:eastAsia="zh-CN"/>
        </w:rPr>
        <w:t xml:space="preserve"> </w:t>
      </w:r>
      <w:r>
        <w:rPr>
          <w:rFonts w:hint="eastAsia" w:ascii="宋体" w:hAnsi="宋体"/>
          <w:color w:val="auto"/>
        </w:rPr>
        <w:t>i</w:t>
      </w:r>
      <w:r>
        <w:rPr>
          <w:rFonts w:hint="eastAsia" w:ascii="宋体" w:hAnsi="宋体" w:cs="宋体"/>
          <w:color w:val="auto"/>
          <w:szCs w:val="21"/>
        </w:rPr>
        <w:t>检测系统的性能特征：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精密度：</w:t>
      </w:r>
      <w:r>
        <w:rPr>
          <w:rFonts w:hint="eastAsia" w:ascii="宋体" w:hAnsi="宋体" w:eastAsia="宋体" w:cs="宋体"/>
          <w:kern w:val="0"/>
          <w:sz w:val="21"/>
          <w:szCs w:val="21"/>
        </w:rPr>
        <w:t>促黄体生成素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项目的精密度为总CV≤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%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回收率：平均回收率为100±10%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灵敏度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kern w:val="0"/>
          <w:sz w:val="21"/>
          <w:szCs w:val="21"/>
        </w:rPr>
        <w:t>促黄体生成素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项目的分析灵敏度≤ 0.1 ng/mL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eastAsia="zh-CN"/>
        </w:rPr>
        <w:t>；</w:t>
      </w:r>
      <w:r>
        <w:rPr>
          <w:rFonts w:hint="eastAsia" w:ascii="宋体" w:hAnsi="宋体"/>
        </w:rPr>
        <w:t>线性范围：</w:t>
      </w:r>
      <w:r>
        <w:rPr>
          <w:rFonts w:hint="eastAsia" w:ascii="宋体" w:hAnsi="宋体" w:eastAsia="宋体" w:cs="宋体"/>
        </w:rPr>
        <w:t>0.12～250 mIU/mL</w:t>
      </w:r>
      <w:r>
        <w:rPr>
          <w:rFonts w:hint="eastAsia" w:ascii="宋体" w:hAnsi="宋体"/>
        </w:rPr>
        <w:t>。</w:t>
      </w:r>
    </w:p>
    <w:p w14:paraId="2860E4B7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4.2 </w:t>
      </w:r>
      <w:r>
        <w:rPr>
          <w:rFonts w:hint="eastAsia" w:ascii="宋体" w:hAnsi="宋体" w:cs="宋体"/>
          <w:color w:val="000000"/>
          <w:szCs w:val="21"/>
        </w:rPr>
        <w:t>性能验证操作详见编号</w:t>
      </w:r>
      <w:r>
        <w:rPr>
          <w:rFonts w:ascii="宋体" w:hAnsi="宋体" w:cs="宋体"/>
          <w:color w:val="000000"/>
          <w:szCs w:val="21"/>
        </w:rPr>
        <w:t>XXX</w:t>
      </w:r>
      <w:r>
        <w:rPr>
          <w:rFonts w:hint="eastAsia" w:ascii="宋体" w:hAnsi="宋体" w:cs="宋体"/>
          <w:color w:val="000000"/>
          <w:szCs w:val="21"/>
        </w:rPr>
        <w:t>的《</w:t>
      </w:r>
      <w:r>
        <w:rPr>
          <w:rFonts w:ascii="宋体" w:hAnsi="宋体" w:cs="宋体"/>
          <w:color w:val="000000"/>
          <w:szCs w:val="21"/>
        </w:rPr>
        <w:t>XXX</w:t>
      </w:r>
      <w:r>
        <w:rPr>
          <w:rFonts w:hint="eastAsia" w:ascii="宋体" w:hAnsi="宋体" w:cs="宋体"/>
          <w:color w:val="000000"/>
          <w:szCs w:val="21"/>
        </w:rPr>
        <w:t>检测系统</w:t>
      </w:r>
      <w:r>
        <w:rPr>
          <w:rFonts w:hint="eastAsia" w:ascii="宋体" w:hAnsi="宋体" w:eastAsia="宋体" w:cs="宋体"/>
          <w:kern w:val="0"/>
          <w:sz w:val="21"/>
          <w:szCs w:val="21"/>
        </w:rPr>
        <w:t>促黄体生成素</w:t>
      </w:r>
      <w:r>
        <w:rPr>
          <w:rFonts w:hint="eastAsia" w:ascii="宋体" w:hAnsi="宋体" w:cs="宋体"/>
          <w:color w:val="000000"/>
          <w:szCs w:val="21"/>
        </w:rPr>
        <w:t>测定性能验证标准操作程序》。</w:t>
      </w:r>
      <w:r>
        <w:rPr>
          <w:rFonts w:ascii="宋体" w:hAnsi="宋体" w:cs="黑体"/>
          <w:b/>
          <w:bCs/>
          <w:color w:val="000000"/>
          <w:szCs w:val="21"/>
        </w:rPr>
        <w:t xml:space="preserve">5 </w:t>
      </w:r>
      <w:r>
        <w:rPr>
          <w:rFonts w:hint="eastAsia" w:ascii="宋体" w:hAnsi="宋体" w:cs="黑体"/>
          <w:b/>
          <w:bCs/>
          <w:color w:val="000000"/>
          <w:szCs w:val="21"/>
        </w:rPr>
        <w:t>标本类型</w:t>
      </w:r>
    </w:p>
    <w:p w14:paraId="28331946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5.1 </w:t>
      </w:r>
      <w:r>
        <w:rPr>
          <w:rFonts w:hint="eastAsia" w:ascii="宋体" w:hAnsi="宋体" w:cs="宋体"/>
          <w:color w:val="000000"/>
          <w:szCs w:val="21"/>
        </w:rPr>
        <w:t>标本类型：血清。</w:t>
      </w:r>
    </w:p>
    <w:p w14:paraId="4B5D4F4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5.2 </w:t>
      </w:r>
      <w:r>
        <w:rPr>
          <w:rFonts w:hint="eastAsia" w:ascii="宋体" w:hAnsi="宋体" w:cs="宋体"/>
          <w:color w:val="000000"/>
          <w:szCs w:val="21"/>
        </w:rPr>
        <w:t>静脉采血：一般取坐位，采血前至少应静坐</w:t>
      </w:r>
      <w:r>
        <w:rPr>
          <w:rFonts w:ascii="宋体" w:hAnsi="宋体" w:cs="宋体"/>
          <w:color w:val="000000"/>
          <w:szCs w:val="21"/>
        </w:rPr>
        <w:t>5min</w:t>
      </w:r>
      <w:r>
        <w:rPr>
          <w:rFonts w:hint="eastAsia" w:ascii="宋体" w:hAnsi="宋体" w:cs="宋体"/>
          <w:color w:val="000000"/>
          <w:szCs w:val="21"/>
        </w:rPr>
        <w:t>（最好＞</w:t>
      </w:r>
      <w:r>
        <w:rPr>
          <w:rFonts w:ascii="宋体" w:hAnsi="宋体" w:cs="宋体"/>
          <w:color w:val="000000"/>
          <w:szCs w:val="21"/>
        </w:rPr>
        <w:t>20min</w:t>
      </w:r>
      <w:r>
        <w:rPr>
          <w:rFonts w:hint="eastAsia" w:ascii="宋体" w:hAnsi="宋体" w:cs="宋体"/>
          <w:color w:val="000000"/>
          <w:szCs w:val="21"/>
        </w:rPr>
        <w:t>）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55B6F6C9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5.3 </w:t>
      </w:r>
      <w:r>
        <w:rPr>
          <w:rFonts w:hint="eastAsia" w:ascii="宋体" w:hAnsi="宋体" w:cs="宋体"/>
          <w:color w:val="000000"/>
          <w:szCs w:val="21"/>
        </w:rPr>
        <w:t>标本量：常规全血</w:t>
      </w:r>
      <w:r>
        <w:rPr>
          <w:rFonts w:ascii="宋体" w:hAnsi="宋体" w:cs="宋体"/>
          <w:color w:val="000000"/>
          <w:szCs w:val="21"/>
        </w:rPr>
        <w:t>3mL</w:t>
      </w:r>
      <w:r>
        <w:rPr>
          <w:rFonts w:hint="eastAsia" w:ascii="宋体" w:hAnsi="宋体" w:cs="宋体"/>
          <w:color w:val="000000"/>
          <w:szCs w:val="21"/>
        </w:rPr>
        <w:t>～</w:t>
      </w:r>
      <w:r>
        <w:rPr>
          <w:rFonts w:ascii="宋体" w:hAnsi="宋体" w:cs="宋体"/>
          <w:color w:val="000000"/>
          <w:szCs w:val="21"/>
        </w:rPr>
        <w:t>5mL</w:t>
      </w:r>
      <w:r>
        <w:rPr>
          <w:rFonts w:hint="eastAsia" w:ascii="宋体" w:hAnsi="宋体" w:cs="宋体"/>
          <w:color w:val="000000"/>
          <w:szCs w:val="21"/>
        </w:rPr>
        <w:t>（最少</w:t>
      </w:r>
      <w:r>
        <w:rPr>
          <w:rFonts w:ascii="宋体" w:hAnsi="宋体" w:cs="宋体"/>
          <w:color w:val="000000"/>
          <w:szCs w:val="21"/>
        </w:rPr>
        <w:t>2mL</w:t>
      </w:r>
      <w:r>
        <w:rPr>
          <w:rFonts w:hint="eastAsia" w:ascii="宋体" w:hAnsi="宋体" w:cs="宋体"/>
          <w:color w:val="000000"/>
          <w:szCs w:val="21"/>
        </w:rPr>
        <w:t>）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67266C5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5.4 </w:t>
      </w:r>
      <w:r>
        <w:rPr>
          <w:rFonts w:hint="eastAsia" w:ascii="宋体" w:hAnsi="宋体" w:cs="宋体"/>
          <w:color w:val="000000"/>
          <w:szCs w:val="21"/>
        </w:rPr>
        <w:t>混匀方法：采血后试管轻柔颠倒混匀不少于</w:t>
      </w:r>
      <w:r>
        <w:rPr>
          <w:rFonts w:ascii="宋体" w:hAnsi="宋体" w:cs="宋体"/>
          <w:color w:val="000000"/>
          <w:szCs w:val="21"/>
        </w:rPr>
        <w:t>10</w:t>
      </w:r>
      <w:r>
        <w:rPr>
          <w:rFonts w:hint="eastAsia" w:ascii="宋体" w:hAnsi="宋体" w:cs="宋体"/>
          <w:color w:val="000000"/>
          <w:szCs w:val="21"/>
        </w:rPr>
        <w:t>次。</w:t>
      </w:r>
    </w:p>
    <w:p w14:paraId="4818027A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5.5 </w:t>
      </w:r>
      <w:r>
        <w:rPr>
          <w:rFonts w:hint="eastAsia" w:ascii="宋体" w:hAnsi="宋体" w:cs="宋体"/>
          <w:color w:val="000000"/>
          <w:szCs w:val="21"/>
        </w:rPr>
        <w:t>标本转运：尽快送检。室温下全血标本管放置不超过</w:t>
      </w:r>
      <w:r>
        <w:rPr>
          <w:rFonts w:ascii="宋体" w:hAnsi="宋体" w:cs="宋体"/>
          <w:color w:val="000000"/>
          <w:szCs w:val="21"/>
        </w:rPr>
        <w:t>3h</w:t>
      </w:r>
      <w:r>
        <w:rPr>
          <w:rFonts w:hint="eastAsia" w:ascii="宋体" w:hAnsi="宋体" w:cs="宋体"/>
          <w:color w:val="000000"/>
          <w:szCs w:val="21"/>
        </w:rPr>
        <w:t>，</w:t>
      </w:r>
      <w:r>
        <w:rPr>
          <w:rFonts w:ascii="宋体" w:hAnsi="宋体" w:cs="宋体"/>
          <w:color w:val="000000"/>
          <w:szCs w:val="21"/>
        </w:rPr>
        <w:t>30 min</w:t>
      </w:r>
      <w:r>
        <w:rPr>
          <w:rFonts w:hint="eastAsia" w:ascii="宋体" w:hAnsi="宋体" w:cs="宋体"/>
          <w:color w:val="000000"/>
          <w:szCs w:val="21"/>
        </w:rPr>
        <w:t>～</w:t>
      </w:r>
      <w:r>
        <w:rPr>
          <w:rFonts w:ascii="宋体" w:hAnsi="宋体" w:cs="宋体"/>
          <w:color w:val="000000"/>
          <w:szCs w:val="21"/>
        </w:rPr>
        <w:t>45 min</w:t>
      </w:r>
      <w:r>
        <w:rPr>
          <w:rFonts w:hint="eastAsia" w:ascii="宋体" w:hAnsi="宋体" w:cs="宋体"/>
          <w:color w:val="000000"/>
          <w:szCs w:val="21"/>
        </w:rPr>
        <w:t>后分离血清，置洁净试管加盖，</w:t>
      </w:r>
      <w:r>
        <w:rPr>
          <w:rFonts w:ascii="宋体" w:hAnsi="宋体" w:cs="宋体"/>
          <w:color w:val="000000"/>
          <w:szCs w:val="21"/>
        </w:rPr>
        <w:t xml:space="preserve">2 </w:t>
      </w:r>
      <w:r>
        <w:rPr>
          <w:rFonts w:hint="eastAsia" w:ascii="宋体" w:hAnsi="宋体" w:cs="宋体"/>
          <w:color w:val="000000"/>
          <w:szCs w:val="21"/>
        </w:rPr>
        <w:t>℃～</w:t>
      </w:r>
      <w:r>
        <w:rPr>
          <w:rFonts w:ascii="宋体" w:hAnsi="宋体" w:cs="宋体"/>
          <w:color w:val="000000"/>
          <w:szCs w:val="21"/>
        </w:rPr>
        <w:t xml:space="preserve">8 </w:t>
      </w:r>
      <w:r>
        <w:rPr>
          <w:rFonts w:hint="eastAsia" w:ascii="宋体" w:hAnsi="宋体" w:cs="宋体"/>
          <w:color w:val="000000"/>
          <w:szCs w:val="21"/>
        </w:rPr>
        <w:t>℃保存稳定</w:t>
      </w:r>
      <w:r>
        <w:rPr>
          <w:rFonts w:ascii="宋体" w:hAnsi="宋体" w:cs="宋体"/>
          <w:color w:val="000000"/>
          <w:szCs w:val="21"/>
        </w:rPr>
        <w:t>7</w:t>
      </w:r>
      <w:r>
        <w:rPr>
          <w:rFonts w:hint="eastAsia" w:ascii="宋体" w:hAnsi="宋体" w:cs="宋体"/>
          <w:color w:val="000000"/>
          <w:szCs w:val="21"/>
        </w:rPr>
        <w:t>天，</w:t>
      </w:r>
      <w:r>
        <w:rPr>
          <w:rFonts w:ascii="宋体" w:hAnsi="宋体" w:cs="宋体"/>
          <w:color w:val="000000"/>
          <w:szCs w:val="21"/>
        </w:rPr>
        <w:t xml:space="preserve">-20 </w:t>
      </w:r>
      <w:r>
        <w:rPr>
          <w:rFonts w:hint="eastAsia" w:ascii="宋体" w:hAnsi="宋体" w:cs="宋体"/>
          <w:color w:val="000000"/>
          <w:szCs w:val="21"/>
        </w:rPr>
        <w:t>℃下可长期保存，不可反复冻融。</w:t>
      </w:r>
    </w:p>
    <w:p w14:paraId="5C23E23A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5.6 </w:t>
      </w:r>
      <w:r>
        <w:rPr>
          <w:rFonts w:hint="eastAsia" w:ascii="宋体" w:hAnsi="宋体" w:cs="宋体"/>
          <w:color w:val="000000"/>
          <w:szCs w:val="21"/>
        </w:rPr>
        <w:t>标本离心要求：如</w:t>
      </w:r>
      <w:r>
        <w:rPr>
          <w:rFonts w:ascii="宋体" w:hAnsi="宋体" w:cs="宋体"/>
          <w:color w:val="000000"/>
          <w:szCs w:val="21"/>
        </w:rPr>
        <w:t>3000</w:t>
      </w:r>
      <w:r>
        <w:rPr>
          <w:rFonts w:hint="eastAsia" w:ascii="宋体" w:hAnsi="宋体" w:cs="宋体"/>
          <w:color w:val="000000"/>
          <w:szCs w:val="21"/>
        </w:rPr>
        <w:t>转</w:t>
      </w:r>
      <w:r>
        <w:rPr>
          <w:rFonts w:ascii="宋体" w:hAnsi="宋体" w:cs="宋体"/>
          <w:color w:val="000000"/>
          <w:szCs w:val="21"/>
        </w:rPr>
        <w:t>/</w:t>
      </w:r>
      <w:r>
        <w:rPr>
          <w:rFonts w:hint="eastAsia" w:ascii="宋体" w:hAnsi="宋体" w:cs="宋体"/>
          <w:color w:val="000000"/>
          <w:szCs w:val="21"/>
        </w:rPr>
        <w:t>分，离心</w:t>
      </w:r>
      <w:r>
        <w:rPr>
          <w:rFonts w:ascii="宋体" w:hAnsi="宋体" w:cs="宋体"/>
          <w:color w:val="000000"/>
          <w:szCs w:val="21"/>
        </w:rPr>
        <w:t>10min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67AAB817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5.7 </w:t>
      </w:r>
      <w:r>
        <w:rPr>
          <w:rFonts w:hint="eastAsia" w:ascii="宋体" w:hAnsi="宋体" w:cs="宋体"/>
          <w:color w:val="000000"/>
          <w:szCs w:val="21"/>
        </w:rPr>
        <w:t>拒收标准：全血标本＜</w:t>
      </w:r>
      <w:r>
        <w:rPr>
          <w:rFonts w:ascii="宋体" w:hAnsi="宋体" w:cs="宋体"/>
          <w:color w:val="000000"/>
          <w:szCs w:val="21"/>
        </w:rPr>
        <w:t>2mL</w:t>
      </w:r>
      <w:r>
        <w:rPr>
          <w:rFonts w:hint="eastAsia" w:ascii="宋体" w:hAnsi="宋体" w:cs="宋体"/>
          <w:color w:val="000000"/>
          <w:szCs w:val="21"/>
        </w:rPr>
        <w:t>或血清＜</w:t>
      </w:r>
      <w:r>
        <w:rPr>
          <w:rFonts w:ascii="宋体" w:hAnsi="宋体" w:cs="宋体"/>
          <w:color w:val="000000"/>
          <w:szCs w:val="21"/>
        </w:rPr>
        <w:t>0.2mL</w:t>
      </w:r>
      <w:r>
        <w:rPr>
          <w:rFonts w:hint="eastAsia" w:ascii="宋体" w:hAnsi="宋体" w:cs="宋体"/>
          <w:color w:val="000000"/>
          <w:szCs w:val="21"/>
        </w:rPr>
        <w:t>；标本严重溶血、浑浊或脂血；无法确认标本信息；标本试管破裂等。详见编号</w:t>
      </w:r>
      <w:r>
        <w:rPr>
          <w:rFonts w:ascii="宋体" w:hAnsi="宋体" w:cs="宋体"/>
          <w:color w:val="000000"/>
          <w:szCs w:val="21"/>
        </w:rPr>
        <w:t>XXX</w:t>
      </w:r>
      <w:r>
        <w:rPr>
          <w:rFonts w:hint="eastAsia" w:ascii="宋体" w:hAnsi="宋体" w:cs="宋体"/>
          <w:color w:val="000000"/>
          <w:szCs w:val="21"/>
        </w:rPr>
        <w:t>的《检验标本采集标准操作程序》。</w:t>
      </w:r>
    </w:p>
    <w:p w14:paraId="1B652F36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6 </w:t>
      </w:r>
      <w:r>
        <w:rPr>
          <w:rFonts w:hint="eastAsia" w:ascii="宋体" w:hAnsi="宋体" w:cs="黑体"/>
          <w:b/>
          <w:bCs/>
          <w:color w:val="000000"/>
          <w:szCs w:val="21"/>
        </w:rPr>
        <w:t>患者准备</w:t>
      </w:r>
    </w:p>
    <w:p w14:paraId="13D0F0D4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采血前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hint="eastAsia" w:ascii="宋体" w:hAnsi="宋体" w:cs="宋体"/>
          <w:color w:val="000000"/>
          <w:szCs w:val="21"/>
        </w:rPr>
        <w:t>天内避免高脂饮食；总胆固醇单一测定可非空腹采血；体检者采血前应保持平时饮食习惯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hint="eastAsia" w:ascii="宋体" w:hAnsi="宋体" w:cs="宋体"/>
          <w:color w:val="000000"/>
          <w:szCs w:val="21"/>
        </w:rPr>
        <w:t>周，近期内体重稳定，无急性病、外伤、手术等意外情况，应每年同一季节检验，采血前</w:t>
      </w:r>
      <w:r>
        <w:rPr>
          <w:rFonts w:ascii="宋体" w:hAnsi="宋体" w:cs="宋体"/>
          <w:color w:val="000000"/>
          <w:szCs w:val="21"/>
        </w:rPr>
        <w:t>24 h</w:t>
      </w:r>
      <w:r>
        <w:rPr>
          <w:rFonts w:hint="eastAsia" w:ascii="宋体" w:hAnsi="宋体" w:cs="宋体"/>
          <w:color w:val="000000"/>
          <w:szCs w:val="21"/>
        </w:rPr>
        <w:t>内不作剧烈运动；妇女在妊娠后期总胆固醇可增高，应在产后或哺乳终止后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hint="eastAsia" w:ascii="宋体" w:hAnsi="宋体" w:cs="宋体"/>
          <w:color w:val="000000"/>
          <w:szCs w:val="21"/>
        </w:rPr>
        <w:t>个月测定。降血脂药、避孕药、噻嗪类利尿剂、β受体阻滞剂、免疫抑制剂、某些降压药、降糖药、胰岛素及其他激素药等会影响血脂，检验前应根据所用药物的特性停药数日或数周，否则应记录具体情况。</w:t>
      </w:r>
    </w:p>
    <w:p w14:paraId="51B3B00F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7 </w:t>
      </w:r>
      <w:r>
        <w:rPr>
          <w:rFonts w:hint="eastAsia" w:ascii="宋体" w:hAnsi="宋体" w:cs="黑体"/>
          <w:b/>
          <w:bCs/>
          <w:color w:val="000000"/>
          <w:szCs w:val="21"/>
        </w:rPr>
        <w:t>容器和添加剂类型</w:t>
      </w:r>
    </w:p>
    <w:p w14:paraId="75760E61">
      <w:pPr>
        <w:autoSpaceDE w:val="0"/>
        <w:autoSpaceDN w:val="0"/>
        <w:adjustRightInd w:val="0"/>
        <w:spacing w:after="125" w:line="360" w:lineRule="auto"/>
        <w:ind w:firstLine="420" w:firstLineChars="200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促凝真空采血管，添加剂为</w:t>
      </w:r>
      <w:r>
        <w:rPr>
          <w:rFonts w:hint="eastAsia" w:ascii="宋体" w:hAnsi="宋体" w:eastAsia="宋体" w:cs="宋体"/>
          <w:sz w:val="21"/>
          <w:szCs w:val="21"/>
        </w:rPr>
        <w:t>肝素（钠和锂），EDTA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三钾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4D12A4C3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>8</w:t>
      </w:r>
      <w:r>
        <w:rPr>
          <w:rFonts w:hint="eastAsia" w:ascii="宋体" w:hAnsi="宋体" w:cs="黑体"/>
          <w:b/>
          <w:bCs/>
          <w:color w:val="000000"/>
          <w:szCs w:val="21"/>
          <w:lang w:val="en-US" w:eastAsia="zh-CN"/>
        </w:rPr>
        <w:t xml:space="preserve"> </w:t>
      </w:r>
      <w:r>
        <w:rPr>
          <w:rFonts w:hint="eastAsia" w:ascii="宋体" w:hAnsi="宋体" w:cs="黑体"/>
          <w:b/>
          <w:bCs/>
          <w:color w:val="000000"/>
          <w:szCs w:val="21"/>
        </w:rPr>
        <w:t>仪器和试剂</w:t>
      </w:r>
    </w:p>
    <w:p w14:paraId="7E71E28B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>8</w:t>
      </w:r>
      <w:r>
        <w:rPr>
          <w:rFonts w:hint="eastAsia" w:ascii="宋体" w:hAnsi="宋体" w:cs="黑体"/>
          <w:b/>
          <w:bCs/>
          <w:color w:val="000000"/>
          <w:szCs w:val="21"/>
          <w:lang w:val="en-US" w:eastAsia="zh-CN"/>
        </w:rPr>
        <w:t xml:space="preserve"> </w:t>
      </w:r>
      <w:r>
        <w:rPr>
          <w:rFonts w:hint="eastAsia" w:ascii="宋体" w:hAnsi="宋体" w:cs="黑体"/>
          <w:b/>
          <w:bCs/>
          <w:color w:val="000000"/>
          <w:szCs w:val="21"/>
        </w:rPr>
        <w:t>仪器和试剂</w:t>
      </w:r>
    </w:p>
    <w:p w14:paraId="52CD3F39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</w:rPr>
      </w:pPr>
      <w:r>
        <w:rPr>
          <w:rFonts w:ascii="宋体" w:hAnsi="宋体" w:cs="黑体"/>
          <w:color w:val="auto"/>
          <w:szCs w:val="21"/>
        </w:rPr>
        <w:t xml:space="preserve">8.1 </w:t>
      </w:r>
      <w:r>
        <w:rPr>
          <w:rFonts w:hint="eastAsia" w:ascii="宋体" w:hAnsi="宋体" w:cs="宋体"/>
          <w:color w:val="auto"/>
          <w:szCs w:val="21"/>
        </w:rPr>
        <w:t>仪器：</w:t>
      </w:r>
      <w:r>
        <w:rPr>
          <w:rFonts w:hint="eastAsia" w:ascii="宋体" w:hAnsi="宋体"/>
          <w:lang w:val="en-US" w:eastAsia="zh-CN"/>
        </w:rPr>
        <w:t>雅培</w:t>
      </w:r>
      <w:r>
        <w:rPr>
          <w:rFonts w:hint="eastAsia" w:ascii="宋体" w:hAnsi="宋体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i全自动化学发光免疫分析仪</w:t>
      </w:r>
      <w:r>
        <w:rPr>
          <w:rFonts w:hint="eastAsia" w:ascii="宋体" w:hAnsi="宋体" w:cs="宋体"/>
          <w:color w:val="auto"/>
          <w:szCs w:val="21"/>
        </w:rPr>
        <w:t>，详见编号</w:t>
      </w:r>
      <w:r>
        <w:rPr>
          <w:rFonts w:ascii="宋体" w:hAnsi="宋体" w:cs="宋体"/>
          <w:color w:val="auto"/>
          <w:szCs w:val="21"/>
          <w:highlight w:val="red"/>
        </w:rPr>
        <w:t>XXX</w:t>
      </w:r>
      <w:r>
        <w:rPr>
          <w:rFonts w:hint="eastAsia" w:ascii="宋体" w:hAnsi="宋体" w:cs="宋体"/>
          <w:color w:val="auto"/>
          <w:szCs w:val="21"/>
        </w:rPr>
        <w:t>的</w:t>
      </w:r>
      <w:r>
        <w:rPr>
          <w:rFonts w:hint="eastAsia" w:ascii="宋体" w:hAnsi="宋体"/>
        </w:rPr>
        <w:t>《</w:t>
      </w:r>
      <w:r>
        <w:rPr>
          <w:rFonts w:hint="eastAsia" w:ascii="宋体" w:hAnsi="宋体"/>
          <w:lang w:val="en-GB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lang w:val="en-GB"/>
        </w:rPr>
        <w:t>i全自动免疫分析仪标准操作规程</w:t>
      </w:r>
      <w:r>
        <w:rPr>
          <w:rFonts w:hint="eastAsia" w:ascii="宋体" w:hAnsi="宋体"/>
        </w:rPr>
        <w:t xml:space="preserve">》。 </w:t>
      </w:r>
    </w:p>
    <w:p w14:paraId="558CCF77">
      <w:pPr>
        <w:numPr>
          <w:ilvl w:val="1"/>
          <w:numId w:val="3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ascii="宋体" w:hAnsi="宋体" w:cs="黑体"/>
          <w:szCs w:val="21"/>
        </w:rPr>
        <w:t xml:space="preserve">8.2 </w:t>
      </w:r>
      <w:r>
        <w:rPr>
          <w:rFonts w:hint="eastAsia" w:ascii="宋体" w:hAnsi="宋体" w:cs="宋体"/>
          <w:szCs w:val="21"/>
        </w:rPr>
        <w:t>试剂</w:t>
      </w:r>
    </w:p>
    <w:p w14:paraId="6870468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0"/>
        <w:textAlignment w:val="auto"/>
        <w:rPr>
          <w:rFonts w:hint="eastAsia" w:ascii="宋体" w:hAnsi="宋体" w:cs="宋体"/>
          <w:szCs w:val="21"/>
        </w:rPr>
      </w:pPr>
      <w:r>
        <w:rPr>
          <w:rFonts w:ascii="宋体" w:hAnsi="宋体" w:cs="黑体"/>
          <w:szCs w:val="21"/>
        </w:rPr>
        <w:t xml:space="preserve">8.2.1 </w:t>
      </w:r>
      <w:r>
        <w:rPr>
          <w:rFonts w:hint="eastAsia" w:ascii="宋体" w:hAnsi="宋体" w:cs="宋体"/>
          <w:szCs w:val="21"/>
        </w:rPr>
        <w:t>检测试剂</w:t>
      </w:r>
      <w:r>
        <w:rPr>
          <w:rFonts w:hint="eastAsia" w:ascii="宋体" w:hAnsi="宋体" w:cs="宋体"/>
          <w:color w:val="auto"/>
          <w:szCs w:val="21"/>
        </w:rPr>
        <w:t>：</w:t>
      </w:r>
      <w:r>
        <w:rPr>
          <w:rFonts w:hint="eastAsia" w:ascii="宋体" w:hAnsi="宋体"/>
          <w:color w:val="auto"/>
          <w:lang w:val="en-US" w:eastAsia="zh-CN"/>
        </w:rPr>
        <w:t>雅培</w:t>
      </w:r>
      <w:r>
        <w:rPr>
          <w:rFonts w:hint="eastAsia" w:ascii="宋体" w:hAnsi="宋体"/>
          <w:color w:val="auto"/>
        </w:rPr>
        <w:t>Alinity</w:t>
      </w:r>
      <w:r>
        <w:rPr>
          <w:rFonts w:hint="eastAsia" w:ascii="宋体" w:hAnsi="宋体"/>
          <w:color w:val="auto"/>
          <w:lang w:val="en-US" w:eastAsia="zh-CN"/>
        </w:rPr>
        <w:t xml:space="preserve"> </w:t>
      </w:r>
      <w:r>
        <w:rPr>
          <w:rFonts w:hint="eastAsia" w:ascii="宋体" w:hAnsi="宋体"/>
          <w:color w:val="auto"/>
        </w:rPr>
        <w:t>i全自动化学发光免疫分析仪</w:t>
      </w:r>
      <w:r>
        <w:rPr>
          <w:rFonts w:hint="eastAsia" w:ascii="宋体" w:hAnsi="宋体" w:cs="宋体"/>
          <w:color w:val="auto"/>
          <w:szCs w:val="21"/>
        </w:rPr>
        <w:t>。</w:t>
      </w:r>
      <w:r>
        <w:rPr>
          <w:rFonts w:hint="eastAsia" w:ascii="宋体" w:hAnsi="宋体" w:cs="宋体"/>
          <w:szCs w:val="21"/>
        </w:rPr>
        <w:t>无需配制，即开即用。</w:t>
      </w:r>
    </w:p>
    <w:p w14:paraId="6161DC3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default" w:ascii="宋体" w:hAnsi="宋体" w:cs="宋体"/>
          <w:color w:val="auto"/>
          <w:kern w:val="0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bidi="ar"/>
        </w:rPr>
        <w:t>.2.</w:t>
      </w:r>
      <w:r>
        <w:rPr>
          <w:rFonts w:hint="default" w:ascii="宋体" w:hAnsi="宋体" w:cs="宋体"/>
          <w:color w:val="auto"/>
          <w:kern w:val="0"/>
          <w:sz w:val="21"/>
          <w:szCs w:val="21"/>
          <w:lang w:val="en-US" w:bidi="ar"/>
        </w:rPr>
        <w:t>2.1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ARCHITECT促黄体生成素测定试剂盒(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07P91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)</w:t>
      </w:r>
    </w:p>
    <w:p w14:paraId="4BD795B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a）微粒子：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1瓶(6.6 mL/100测试； 27.0 mL/500测试)促黄体生成素β亚基(小鼠，单克隆)抗体包被的微粒子，储存于含有蛋白(牛，小鼠)稳定剂的4-羟乙基哌嗪乙磺酸(HEPES)缓冲液中。最低浓度： 0.04%固体物质。防腐剂： ProClin 300。</w:t>
      </w:r>
    </w:p>
    <w:p w14:paraId="670B4B4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b）结合物：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1瓶(5.9 mL/100测试； 26.3 mL/500测试)吖啶酯标记的促黄体生成素α亚基抗体(小鼠，单克隆)结合物，储存于含有蛋白(牛，酪蛋白)稳定剂的2-(N-吗啡啉)乙磺酸(MES)缓冲液中。最低浓度： 170 ng/mL。防腐剂： ProClin 300和ProClin 950。</w:t>
      </w:r>
    </w:p>
    <w:p w14:paraId="43DCD7E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样本稀释液(7D82-50)：1瓶(100 mL) 样本稀释液，含有磷酸盐缓冲液。防腐剂： 抗菌剂。</w:t>
      </w:r>
    </w:p>
    <w:p w14:paraId="651AECA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）其它试剂：ARCHITECT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预激发液、ARCHITECT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激发液、ARCHITECT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清洗缓冲液。</w:t>
      </w:r>
    </w:p>
    <w:p w14:paraId="1F6B636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default" w:ascii="宋体" w:hAnsi="宋体" w:cs="宋体"/>
          <w:color w:val="auto"/>
          <w:kern w:val="0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bidi="ar"/>
        </w:rPr>
        <w:t>.2.2</w:t>
      </w:r>
      <w:r>
        <w:rPr>
          <w:rFonts w:hint="default" w:ascii="宋体" w:hAnsi="宋体" w:cs="宋体"/>
          <w:color w:val="auto"/>
          <w:kern w:val="0"/>
          <w:sz w:val="21"/>
          <w:szCs w:val="21"/>
          <w:lang w:val="en-US" w:bidi="ar"/>
        </w:rPr>
        <w:t>.2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试剂盒储存条件</w:t>
      </w:r>
    </w:p>
    <w:p w14:paraId="3BB390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ARCHITECT促黄体生成素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测定试剂盒必须在2-8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℃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竖直向上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储存，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从2-8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℃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环境中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取出后可立即使用。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如果试剂瓶未竖直向上储存，使用前轻轻颠倒试剂瓶10次并竖直向上放置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小时。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有效期1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个月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。</w:t>
      </w:r>
    </w:p>
    <w:p w14:paraId="690B9B7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b）按照指导储存和操作时，试剂在效期内保持稳定。</w:t>
      </w:r>
    </w:p>
    <w:p w14:paraId="691D575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促黄体生成素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测定试剂盒在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系统上最长可以储存30天。</w:t>
      </w:r>
    </w:p>
    <w:p w14:paraId="7D4FC95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d）试剂可以在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系统上储存，也可以脱离系统储存。如果试剂脱离系统储存，需将其竖直向上储存于2-8℃(盖有软盖和替换盖)。试剂从系统上取出后，建议将其放回原始托架和包装盒中储存，以确保其竖直向上放置。如果微粒子试剂瓶在脱离系统冷藏储存时没有竖直向上放置(盖有软盖)，那么必须丢弃该试剂盒。</w:t>
      </w:r>
    </w:p>
    <w:p w14:paraId="26834C8F">
      <w:pPr>
        <w:numPr>
          <w:ilvl w:val="1"/>
          <w:numId w:val="3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ascii="宋体" w:hAnsi="宋体" w:cs="黑体"/>
          <w:szCs w:val="21"/>
        </w:rPr>
        <w:t xml:space="preserve">8.2.2 </w:t>
      </w:r>
      <w:r>
        <w:rPr>
          <w:rFonts w:hint="eastAsia" w:ascii="宋体" w:hAnsi="宋体" w:cs="宋体"/>
          <w:szCs w:val="21"/>
        </w:rPr>
        <w:t>校准品：</w:t>
      </w:r>
      <w:r>
        <w:rPr>
          <w:rFonts w:hint="eastAsia" w:ascii="宋体" w:hAnsi="宋体"/>
          <w:lang w:val="en-US" w:eastAsia="zh-CN"/>
        </w:rPr>
        <w:t>雅培</w:t>
      </w:r>
      <w:r>
        <w:rPr>
          <w:rFonts w:hint="eastAsia" w:ascii="宋体" w:hAnsi="宋体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i全自动化学发光免疫分析仪</w:t>
      </w:r>
      <w:r>
        <w:rPr>
          <w:rFonts w:hint="eastAsia" w:ascii="宋体" w:hAnsi="宋体" w:cs="宋体"/>
          <w:color w:val="auto"/>
          <w:szCs w:val="21"/>
        </w:rPr>
        <w:t>液态校准血清</w:t>
      </w:r>
      <w:r>
        <w:rPr>
          <w:rFonts w:hint="eastAsia" w:ascii="宋体" w:hAnsi="宋体" w:cs="宋体"/>
          <w:szCs w:val="21"/>
        </w:rPr>
        <w:t>，用前须充分混匀。规格：</w:t>
      </w:r>
      <w:r>
        <w:rPr>
          <w:rFonts w:hint="eastAsia" w:ascii="宋体" w:hAnsi="宋体" w:cs="宋体"/>
          <w:szCs w:val="21"/>
          <w:lang w:val="en-US" w:eastAsia="zh-CN"/>
        </w:rPr>
        <w:t>6</w:t>
      </w:r>
      <w:r>
        <w:rPr>
          <w:rFonts w:hint="eastAsia" w:ascii="宋体" w:hAnsi="宋体" w:cs="宋体"/>
          <w:szCs w:val="21"/>
        </w:rPr>
        <w:t>×</w:t>
      </w:r>
      <w:r>
        <w:rPr>
          <w:rFonts w:hint="default" w:ascii="宋体" w:hAnsi="宋体" w:cs="宋体"/>
          <w:szCs w:val="21"/>
          <w:lang w:val="en-US" w:eastAsia="zh-CN"/>
        </w:rPr>
        <w:t>3</w:t>
      </w:r>
      <w:r>
        <w:rPr>
          <w:rFonts w:ascii="宋体" w:hAnsi="宋体" w:cs="宋体"/>
          <w:szCs w:val="21"/>
        </w:rPr>
        <w:t>mL</w:t>
      </w:r>
      <w:r>
        <w:rPr>
          <w:rFonts w:hint="eastAsia" w:ascii="宋体" w:hAnsi="宋体" w:cs="宋体"/>
          <w:szCs w:val="21"/>
        </w:rPr>
        <w:t>。稳定性：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2℃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-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8℃储存，有效期12个月。</w:t>
      </w:r>
    </w:p>
    <w:p w14:paraId="161CC9B7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 xml:space="preserve">9 </w:t>
      </w:r>
      <w:r>
        <w:rPr>
          <w:rFonts w:hint="eastAsia" w:ascii="宋体" w:hAnsi="宋体" w:cs="黑体"/>
          <w:b/>
          <w:bCs/>
          <w:color w:val="auto"/>
          <w:szCs w:val="21"/>
        </w:rPr>
        <w:t>环境和安全控制</w:t>
      </w:r>
    </w:p>
    <w:p w14:paraId="362289F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.1环境温度：15～30℃。</w:t>
      </w:r>
    </w:p>
    <w:p w14:paraId="5EC5CE3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.2相对湿度：20～85%。</w:t>
      </w:r>
    </w:p>
    <w:p w14:paraId="04AD9687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9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.</w:t>
      </w:r>
      <w:r>
        <w:rPr>
          <w:rFonts w:hint="eastAsia" w:cs="Times New Roman" w:asciiTheme="minorEastAsia" w:hAnsiTheme="minorEastAsia" w:eastAsiaTheme="minorEastAsia"/>
          <w:sz w:val="24"/>
          <w:szCs w:val="24"/>
          <w:lang w:val="en-US" w:eastAsia="zh-CN"/>
        </w:rPr>
        <w:t xml:space="preserve">3 </w:t>
      </w:r>
      <w:r>
        <w:rPr>
          <w:rFonts w:hint="eastAsia" w:ascii="宋体" w:hAnsi="宋体" w:cs="宋体"/>
          <w:color w:val="auto"/>
          <w:szCs w:val="21"/>
        </w:rPr>
        <w:t>本检测试剂含动物源性物质，可能传播传染病。叠氮化钠防腐剂可在金属排水管道形成爆炸性化合物，应在弃置未稀释试剂后用水冲洗污水管，避免叠氮化合物积聚。仪器安全使用要求详见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按照《设施和环境管理程序》《实验室安全管理程序》《仪器设备管理程序》等相关文件执行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。</w:t>
      </w:r>
      <w:r>
        <w:rPr>
          <w:rFonts w:ascii="宋体" w:hAnsi="宋体" w:cs="黑体"/>
          <w:b/>
          <w:bCs/>
          <w:color w:val="000000"/>
          <w:szCs w:val="21"/>
        </w:rPr>
        <w:t xml:space="preserve">10 </w:t>
      </w:r>
      <w:r>
        <w:rPr>
          <w:rFonts w:hint="eastAsia" w:ascii="宋体" w:hAnsi="宋体" w:cs="黑体"/>
          <w:b/>
          <w:bCs/>
          <w:color w:val="000000"/>
          <w:szCs w:val="21"/>
        </w:rPr>
        <w:t>校准程序</w:t>
      </w:r>
    </w:p>
    <w:p w14:paraId="5EF51D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ascii="宋体" w:hAnsi="宋体" w:cs="黑体"/>
          <w:szCs w:val="21"/>
        </w:rPr>
        <w:t xml:space="preserve">10.1 </w:t>
      </w:r>
      <w:r>
        <w:rPr>
          <w:rFonts w:hint="eastAsia" w:ascii="宋体" w:hAnsi="宋体" w:cs="宋体"/>
          <w:szCs w:val="21"/>
        </w:rPr>
        <w:t>溯源性：校准品可溯源</w:t>
      </w:r>
      <w:r>
        <w:rPr>
          <w:rFonts w:hint="eastAsia" w:ascii="宋体" w:hAnsi="宋体" w:eastAsia="宋体" w:cs="宋体"/>
          <w:sz w:val="21"/>
          <w:szCs w:val="21"/>
        </w:rPr>
        <w:t>至</w:t>
      </w:r>
      <w:r>
        <w:rPr>
          <w:rFonts w:hint="eastAsia" w:ascii="宋体" w:hAnsi="宋体" w:cs="宋体"/>
          <w:sz w:val="21"/>
          <w:szCs w:val="21"/>
          <w:lang w:eastAsia="zh-CN"/>
        </w:rPr>
        <w:t>世界卫生组织（</w:t>
      </w:r>
      <w:r>
        <w:rPr>
          <w:rFonts w:hint="eastAsia" w:ascii="宋体" w:hAnsi="宋体" w:cs="宋体"/>
          <w:sz w:val="21"/>
          <w:szCs w:val="21"/>
          <w:lang w:val="en-US" w:eastAsia="zh-CN"/>
        </w:rPr>
        <w:t>WHO</w:t>
      </w:r>
      <w:r>
        <w:rPr>
          <w:rFonts w:hint="eastAsia" w:ascii="宋体" w:hAnsi="宋体" w:cs="宋体"/>
          <w:sz w:val="21"/>
          <w:szCs w:val="21"/>
          <w:lang w:eastAsia="zh-CN"/>
        </w:rPr>
        <w:t>）促黄体生成素（</w:t>
      </w:r>
      <w:r>
        <w:rPr>
          <w:rFonts w:hint="eastAsia" w:ascii="宋体" w:hAnsi="宋体" w:cs="宋体"/>
          <w:sz w:val="21"/>
          <w:szCs w:val="21"/>
          <w:lang w:val="en-US" w:eastAsia="zh-CN"/>
        </w:rPr>
        <w:t>LH</w:t>
      </w:r>
      <w:r>
        <w:rPr>
          <w:rFonts w:hint="eastAsia" w:ascii="宋体" w:hAnsi="宋体" w:cs="宋体"/>
          <w:sz w:val="21"/>
          <w:szCs w:val="21"/>
          <w:lang w:eastAsia="zh-CN"/>
        </w:rPr>
        <w:t>）（人，垂体）第二代国际标准品</w:t>
      </w:r>
      <w:r>
        <w:rPr>
          <w:rFonts w:hint="eastAsia" w:ascii="宋体" w:hAnsi="宋体" w:cs="宋体"/>
          <w:sz w:val="21"/>
          <w:szCs w:val="21"/>
          <w:lang w:val="en-US" w:eastAsia="zh-CN"/>
        </w:rPr>
        <w:t>80/552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 w14:paraId="4338B7E6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ascii="宋体" w:hAnsi="宋体" w:cs="黑体"/>
          <w:color w:val="auto"/>
          <w:szCs w:val="21"/>
        </w:rPr>
        <w:t xml:space="preserve">10.2 </w:t>
      </w:r>
      <w:r>
        <w:rPr>
          <w:rFonts w:hint="eastAsia" w:ascii="宋体" w:hAnsi="宋体" w:cs="宋体"/>
          <w:color w:val="auto"/>
          <w:szCs w:val="21"/>
        </w:rPr>
        <w:t>校准时机：校准周期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30天</w:t>
      </w:r>
      <w:r>
        <w:rPr>
          <w:rFonts w:hint="eastAsia" w:ascii="宋体" w:hAnsi="宋体" w:cs="宋体"/>
          <w:color w:val="auto"/>
          <w:szCs w:val="21"/>
        </w:rPr>
        <w:t>。当发生下列情况时，需重新校准分析：试剂批号改变或质控值显著变化；分析仪提示需要校准时；分析仪进行了重要预防性维护或更换了关键部件时。</w:t>
      </w:r>
    </w:p>
    <w:p w14:paraId="59325464">
      <w:pPr>
        <w:pStyle w:val="7"/>
        <w:spacing w:line="360" w:lineRule="auto"/>
        <w:ind w:right="0" w:rightChars="0" w:firstLine="420" w:firstLineChars="0"/>
        <w:rPr>
          <w:rFonts w:hint="eastAsia" w:ascii="宋体" w:hAnsi="宋体" w:cs="宋体"/>
          <w:szCs w:val="21"/>
        </w:rPr>
      </w:pPr>
      <w:r>
        <w:rPr>
          <w:rFonts w:ascii="宋体" w:hAnsi="宋体" w:cs="黑体"/>
          <w:szCs w:val="21"/>
        </w:rPr>
        <w:t xml:space="preserve">10.3 </w:t>
      </w:r>
      <w:r>
        <w:rPr>
          <w:rFonts w:hint="eastAsia" w:ascii="宋体" w:hAnsi="宋体" w:cs="宋体"/>
          <w:szCs w:val="21"/>
        </w:rPr>
        <w:t>校准步骤：</w:t>
      </w:r>
      <w:r>
        <w:rPr>
          <w:rFonts w:hint="eastAsia" w:ascii="宋体" w:hAnsi="宋体" w:eastAsia="宋体" w:cs="宋体"/>
          <w:sz w:val="21"/>
          <w:szCs w:val="21"/>
        </w:rPr>
        <w:t>具体操作见</w:t>
      </w:r>
      <w:r>
        <w:rPr>
          <w:rFonts w:hint="eastAsia" w:ascii="宋体" w:hAnsi="宋体"/>
          <w:sz w:val="21"/>
          <w:szCs w:val="21"/>
        </w:rPr>
        <w:t>《</w:t>
      </w:r>
      <w:r>
        <w:rPr>
          <w:rFonts w:hint="eastAsia" w:ascii="宋体" w:hAnsi="宋体"/>
          <w:color w:val="000000"/>
          <w:sz w:val="21"/>
          <w:szCs w:val="21"/>
        </w:rPr>
        <w:t>ARCHITECTAlinityi全自动化学发光免疫</w:t>
      </w:r>
      <w:r>
        <w:rPr>
          <w:rFonts w:hint="eastAsia" w:ascii="宋体" w:hAnsi="宋体"/>
          <w:sz w:val="21"/>
          <w:szCs w:val="21"/>
        </w:rPr>
        <w:t>分析仪校准程序》。</w:t>
      </w:r>
    </w:p>
    <w:p w14:paraId="7FCD6CC5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 xml:space="preserve">11 </w:t>
      </w:r>
      <w:r>
        <w:rPr>
          <w:rFonts w:hint="eastAsia" w:ascii="宋体" w:hAnsi="宋体" w:cs="黑体"/>
          <w:b/>
          <w:bCs/>
          <w:color w:val="auto"/>
          <w:szCs w:val="21"/>
        </w:rPr>
        <w:t>操作步骤</w:t>
      </w:r>
    </w:p>
    <w:p w14:paraId="544AAE36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/>
          <w:lang w:val="en-US" w:eastAsia="zh-CN"/>
        </w:rPr>
        <w:t>雅培</w:t>
      </w:r>
      <w:r>
        <w:rPr>
          <w:rFonts w:hint="eastAsia" w:ascii="宋体" w:hAnsi="宋体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i全自动化学发光免疫分析仪</w:t>
      </w:r>
      <w:r>
        <w:rPr>
          <w:rFonts w:hint="eastAsia" w:ascii="宋体" w:hAnsi="宋体" w:cs="宋体"/>
          <w:color w:val="auto"/>
          <w:szCs w:val="21"/>
        </w:rPr>
        <w:t>检测步骤主要操作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要点：</w:t>
      </w:r>
    </w:p>
    <w:p w14:paraId="64C6A44B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11.1 将样本和促黄体生成素β亚基抗体包</w:t>
      </w:r>
      <w:r>
        <w:rPr>
          <w:rFonts w:ascii="Helen Song" w:hAnsi="Helen Song" w:eastAsia="Helen Song" w:cs="Helen Song"/>
          <w:color w:val="231F20"/>
          <w:kern w:val="0"/>
          <w:sz w:val="16"/>
          <w:szCs w:val="16"/>
          <w:lang w:val="en-US" w:eastAsia="zh-CN" w:bidi="ar"/>
        </w:rPr>
        <w:t>被的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顺磁粒子混合。样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 xml:space="preserve">本中的促黄体生成素和促黄体生成素β亚基抗体包被的粒子结合。 </w:t>
      </w:r>
    </w:p>
    <w:p w14:paraId="37AC5C3E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11.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 xml:space="preserve">冲洗后，加入吖啶酯标记的促黄体生成素α亚基抗体结合物，形成反应混合物。 </w:t>
      </w:r>
    </w:p>
    <w:p w14:paraId="570653A5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 xml:space="preserve">11.3 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 xml:space="preserve">再次冲洗后，将预激发液和激发液加入到反应混合物中。 </w:t>
      </w:r>
    </w:p>
    <w:p w14:paraId="4A4B21BC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eastAsia" w:ascii="宋体" w:hAnsi="宋体" w:cs="宋体"/>
          <w:color w:val="FF0000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 xml:space="preserve">11.4 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测量产生的化学发光反应，以相对发光单位(RLUs)表示。样本中的促黄体生成素含量与光学系统检测到的RLUs值之间成正比。</w:t>
      </w:r>
    </w:p>
    <w:tbl>
      <w:tblPr>
        <w:tblStyle w:val="13"/>
        <w:tblW w:w="9093" w:type="dxa"/>
        <w:tblInd w:w="102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8382"/>
      </w:tblGrid>
      <w:tr w14:paraId="3FB9A138">
        <w:trPr>
          <w:trHeight w:val="423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C3171C7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步骤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6DD7021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操作</w:t>
            </w:r>
          </w:p>
        </w:tc>
      </w:tr>
      <w:tr w14:paraId="239D40F1">
        <w:trPr>
          <w:trHeight w:val="12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EDF2C9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 xml:space="preserve">1 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ACFD5C9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样品编程： 主界面中点击“申请”→ 在申请界面下方点击“创建申请”→在创建申请界面点击“标本”→在申请类型下选择单个标本或条码批量处理→点击右侧项目或项目组合选项，选择姚检测的项目或项目组合→需要时，点击界面下方项目选项选择和输入自动稀释模式和重复测试数→点击“完成”返回申请界面→点击界面下方申请状态，查看标本申请状态→也可以使用组合选择项目组合组套。在每个项目中可以以选择重复次数和稀释方案→点击“完成”，点击“添加申请”以保存。</w:t>
            </w:r>
          </w:p>
        </w:tc>
      </w:tr>
      <w:tr w14:paraId="6FA63D15">
        <w:trPr>
          <w:trHeight w:val="4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5D1B50A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 xml:space="preserve">2 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C83CC79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样品检测：在菜单栏上点击主屏幕“HOME”图标→在主屏幕上，点击试剂和样品传输模块和处理模块图标→点击“运行”，传输模块和处理模块到“Running”→自动申请的含有条码的样品管，应将条码朝外→批量处理的样品架，将样品架放置在样品托盘中，再将托盘推入试剂和样品传输模块（RSM）任一可用的装载位，直到装载指示灯（绿色）亮起→单个处理的样品架，直接将样品架推入试剂和样品传输模块（RSM）任一可用的装载位，直到装载指示灯（绿色）亮起。</w:t>
            </w:r>
          </w:p>
        </w:tc>
      </w:tr>
      <w:tr w14:paraId="5306DF72">
        <w:trPr>
          <w:trHeight w:val="3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34A46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3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1D1443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检测结果传输：结果屏幕→菜单栏，点击“结果”→选择需要传输结果→点击“传输”</w:t>
            </w:r>
          </w:p>
        </w:tc>
      </w:tr>
      <w:tr w14:paraId="45D644D4">
        <w:trPr>
          <w:trHeight w:val="8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AD889A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 xml:space="preserve">4 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D8BE33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检测结果查询：结果屏幕→菜单栏，点击“结果”→点击未“释放”选项卡，查看未释放的测试结果列表→点击“标本”选项卡，查看已释放的患者标本测试结果列表→点击“异常报警”选项卡，查看发生异常报警的测试结果列表。</w:t>
            </w:r>
          </w:p>
        </w:tc>
      </w:tr>
    </w:tbl>
    <w:p w14:paraId="540152CB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theme="minorBidi"/>
          <w:szCs w:val="21"/>
        </w:rPr>
      </w:pPr>
      <w:r>
        <w:rPr>
          <w:rFonts w:ascii="宋体" w:hAnsi="宋体" w:cstheme="minorBidi"/>
          <w:szCs w:val="21"/>
        </w:rPr>
        <w:t>注：仪器具体操作步骤见编号XXX的</w:t>
      </w:r>
      <w:r>
        <w:rPr>
          <w:rFonts w:hint="eastAsia" w:ascii="宋体" w:hAnsi="宋体"/>
        </w:rPr>
        <w:t>《</w:t>
      </w:r>
      <w:r>
        <w:rPr>
          <w:rFonts w:hint="eastAsia" w:ascii="宋体" w:hAnsi="宋体"/>
          <w:lang w:val="en-GB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lang w:val="en-GB"/>
        </w:rPr>
        <w:t>i全自动免疫分析仪标准操作规程</w:t>
      </w:r>
      <w:r>
        <w:rPr>
          <w:rFonts w:hint="eastAsia" w:ascii="宋体" w:hAnsi="宋体"/>
        </w:rPr>
        <w:t xml:space="preserve">》。 </w:t>
      </w:r>
    </w:p>
    <w:p w14:paraId="1C2697A2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12 </w:t>
      </w:r>
      <w:r>
        <w:rPr>
          <w:rFonts w:hint="eastAsia" w:ascii="宋体" w:hAnsi="宋体" w:cs="黑体"/>
          <w:b/>
          <w:bCs/>
          <w:color w:val="000000"/>
          <w:szCs w:val="21"/>
        </w:rPr>
        <w:t>质量控制</w:t>
      </w:r>
      <w:r>
        <w:rPr>
          <w:rFonts w:ascii="宋体" w:hAnsi="宋体" w:cs="黑体"/>
          <w:b/>
          <w:bCs/>
          <w:color w:val="000000"/>
          <w:szCs w:val="21"/>
        </w:rPr>
        <w:t xml:space="preserve"> </w:t>
      </w:r>
    </w:p>
    <w:p w14:paraId="3144D8A9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.1质控品：使用</w:t>
      </w:r>
      <w:r>
        <w:rPr>
          <w:rFonts w:hint="eastAsia" w:ascii="宋体" w:hAnsi="宋体" w:eastAsia="宋体"/>
          <w:lang w:val="en-US" w:eastAsia="zh-CN"/>
        </w:rPr>
        <w:t>雅培</w:t>
      </w:r>
      <w:r>
        <w:rPr>
          <w:rFonts w:ascii="宋体" w:hAnsi="宋体"/>
        </w:rPr>
        <w:t xml:space="preserve"> </w:t>
      </w:r>
      <w:r>
        <w:rPr>
          <w:rFonts w:ascii="宋体" w:hAnsi="宋体" w:cs="Arial"/>
          <w:lang w:val="en-GB"/>
        </w:rPr>
        <w:t>Alinityi</w:t>
      </w:r>
      <w:r>
        <w:rPr>
          <w:rFonts w:hint="eastAsia" w:ascii="宋体" w:hAnsi="宋体" w:eastAsia="宋体" w:cs="Times New Roman"/>
        </w:rPr>
        <w:t xml:space="preserve">公司配套定值质控品。两浓度水平，2-8℃下保存至有效期，禁止冻融。 </w:t>
      </w:r>
    </w:p>
    <w:p w14:paraId="3C57C83D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.2质控规则：Westgard 质控规则，使用13S、22S、R4S质控规则。</w:t>
      </w:r>
    </w:p>
    <w:p w14:paraId="5A416EA6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.3检测方法：指定质控品专用编号，滴6滴于带盖离心管，密封保存于2-8℃，每工作日按常规标本模式检测一次。记录质控结果。</w:t>
      </w:r>
    </w:p>
    <w:p w14:paraId="57AAA328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color w:val="FF0000"/>
          <w:lang w:val="en-US" w:eastAsia="zh-CN"/>
        </w:rPr>
        <w:t>12</w:t>
      </w:r>
      <w:r>
        <w:rPr>
          <w:rFonts w:hint="eastAsia" w:ascii="宋体" w:hAnsi="宋体" w:eastAsia="宋体" w:cs="Times New Roman"/>
          <w:color w:val="FF0000"/>
        </w:rPr>
        <w:t>.4质量目标：参考行标WS-T 494：2017《临床定性免疫检验重要常规项目分析质量要求》，批内变异系数应&lt;10%,。批间变异系数应&lt;15%。</w:t>
      </w:r>
    </w:p>
    <w:p w14:paraId="50F174E6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.5如出现失控情况，按室内质控标准操作程序采取各种有效的纠正措施及时纠正，并在确认重新回复到控制状态后开始标本检测。</w:t>
      </w:r>
    </w:p>
    <w:p w14:paraId="0453BF31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</w:t>
      </w:r>
      <w:r>
        <w:rPr>
          <w:rFonts w:hint="eastAsia" w:ascii="宋体" w:hAnsi="宋体" w:eastAsia="宋体" w:cs="Times New Roman"/>
          <w:lang w:val="en-US" w:eastAsia="zh-CN"/>
        </w:rPr>
        <w:t>6</w:t>
      </w:r>
      <w:r>
        <w:rPr>
          <w:rFonts w:hint="eastAsia" w:ascii="宋体" w:hAnsi="宋体" w:eastAsia="宋体" w:cs="宋体"/>
          <w:sz w:val="21"/>
          <w:szCs w:val="21"/>
        </w:rPr>
        <w:t>具体操作见《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ARCHITECT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微粒子化学发光免疫</w:t>
      </w:r>
      <w:r>
        <w:rPr>
          <w:rFonts w:hint="eastAsia" w:ascii="宋体" w:hAnsi="宋体" w:eastAsia="宋体" w:cs="宋体"/>
          <w:sz w:val="21"/>
          <w:szCs w:val="21"/>
        </w:rPr>
        <w:t>分析仪质控程序》。</w:t>
      </w:r>
    </w:p>
    <w:p w14:paraId="72E2983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bookmarkStart w:id="0" w:name="_GoBack"/>
      <w:bookmarkEnd w:id="0"/>
    </w:p>
    <w:p w14:paraId="48740D07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13 </w:t>
      </w:r>
      <w:r>
        <w:rPr>
          <w:rFonts w:hint="eastAsia" w:ascii="宋体" w:hAnsi="宋体" w:cs="黑体"/>
          <w:b/>
          <w:bCs/>
          <w:color w:val="000000"/>
          <w:szCs w:val="21"/>
        </w:rPr>
        <w:t>干扰和交叉反应</w:t>
      </w:r>
    </w:p>
    <w:p w14:paraId="7C30D4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</w:rPr>
        <w:t>以下物质的浓度对LH的平均干扰率＜8%：</w:t>
      </w:r>
      <w:r>
        <w:rPr>
          <w:rFonts w:hint="eastAsia" w:ascii="宋体" w:hAnsi="宋体" w:eastAsia="宋体" w:cs="宋体"/>
          <w:color w:val="000000"/>
          <w:szCs w:val="21"/>
        </w:rPr>
        <w:t>血红蛋白</w:t>
      </w:r>
      <w:r>
        <w:rPr>
          <w:rFonts w:hint="eastAsia" w:ascii="宋体" w:hAnsi="宋体" w:eastAsia="宋体" w:cs="宋体"/>
          <w:kern w:val="0"/>
          <w:szCs w:val="21"/>
        </w:rPr>
        <w:t>≤</w:t>
      </w:r>
      <w:r>
        <w:rPr>
          <w:rFonts w:hint="eastAsia" w:ascii="宋体" w:hAnsi="宋体" w:eastAsia="宋体" w:cs="宋体"/>
          <w:szCs w:val="21"/>
        </w:rPr>
        <w:t>500 mg/dL</w:t>
      </w:r>
      <w:r>
        <w:rPr>
          <w:rFonts w:hint="eastAsia" w:ascii="宋体" w:hAnsi="宋体" w:eastAsia="宋体" w:cs="宋体"/>
          <w:color w:val="000000"/>
          <w:szCs w:val="21"/>
        </w:rPr>
        <w:t>；胆红素</w:t>
      </w:r>
      <w:r>
        <w:rPr>
          <w:rFonts w:hint="eastAsia" w:ascii="宋体" w:hAnsi="宋体" w:eastAsia="宋体" w:cs="宋体"/>
          <w:kern w:val="0"/>
          <w:szCs w:val="21"/>
        </w:rPr>
        <w:t>≤</w:t>
      </w:r>
      <w:r>
        <w:rPr>
          <w:rFonts w:hint="eastAsia" w:ascii="宋体" w:hAnsi="宋体" w:eastAsia="宋体" w:cs="宋体"/>
          <w:szCs w:val="21"/>
        </w:rPr>
        <w:t>20 mg/dL；甘油三酯</w:t>
      </w:r>
      <w:r>
        <w:rPr>
          <w:rFonts w:hint="eastAsia" w:ascii="宋体" w:hAnsi="宋体" w:eastAsia="宋体" w:cs="宋体"/>
          <w:kern w:val="0"/>
          <w:szCs w:val="21"/>
        </w:rPr>
        <w:t>≤3000 m</w:t>
      </w:r>
      <w:r>
        <w:rPr>
          <w:rFonts w:hint="eastAsia" w:ascii="宋体" w:hAnsi="宋体" w:eastAsia="宋体" w:cs="宋体"/>
          <w:szCs w:val="21"/>
        </w:rPr>
        <w:t>g/dL</w:t>
      </w:r>
      <w:r>
        <w:rPr>
          <w:rFonts w:hint="eastAsia" w:ascii="宋体" w:hAnsi="宋体" w:eastAsia="宋体" w:cs="宋体"/>
          <w:color w:val="000000"/>
          <w:szCs w:val="21"/>
        </w:rPr>
        <w:t>；总蛋白</w:t>
      </w:r>
      <w:r>
        <w:rPr>
          <w:rFonts w:hint="eastAsia" w:ascii="宋体" w:hAnsi="宋体" w:eastAsia="宋体" w:cs="宋体"/>
          <w:kern w:val="0"/>
          <w:szCs w:val="21"/>
        </w:rPr>
        <w:t xml:space="preserve">≤12 </w:t>
      </w:r>
      <w:r>
        <w:rPr>
          <w:rFonts w:hint="eastAsia" w:ascii="宋体" w:hAnsi="宋体" w:eastAsia="宋体" w:cs="宋体"/>
          <w:szCs w:val="21"/>
        </w:rPr>
        <w:t>g/dL</w:t>
      </w:r>
      <w:r>
        <w:rPr>
          <w:rFonts w:hint="eastAsia" w:ascii="宋体" w:hAnsi="宋体" w:eastAsia="宋体" w:cs="宋体"/>
          <w:szCs w:val="21"/>
          <w:lang w:eastAsia="zh-CN"/>
        </w:rPr>
        <w:t>。</w:t>
      </w:r>
    </w:p>
    <w:p w14:paraId="43034446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 xml:space="preserve">14 </w:t>
      </w:r>
      <w:r>
        <w:rPr>
          <w:rFonts w:hint="eastAsia" w:ascii="宋体" w:hAnsi="宋体" w:cs="黑体"/>
          <w:b/>
          <w:bCs/>
          <w:color w:val="auto"/>
          <w:szCs w:val="21"/>
        </w:rPr>
        <w:t>结果的计算程序</w:t>
      </w:r>
    </w:p>
    <w:p w14:paraId="729CE26A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仪器借助于定标曲线，自动地计算每一个样本的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LH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浓度，结果以</w:t>
      </w:r>
      <w:r>
        <w:rPr>
          <w:rFonts w:hint="eastAsia" w:ascii="宋体" w:hAnsi="宋体" w:eastAsia="宋体" w:cs="宋体"/>
          <w:sz w:val="21"/>
          <w:szCs w:val="21"/>
        </w:rPr>
        <w:t>mIU/mL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 xml:space="preserve"> 表示。</w:t>
      </w:r>
    </w:p>
    <w:p w14:paraId="5D09A7CB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15 </w:t>
      </w:r>
      <w:r>
        <w:rPr>
          <w:rFonts w:hint="eastAsia" w:ascii="宋体" w:hAnsi="宋体" w:cs="黑体"/>
          <w:b/>
          <w:bCs/>
          <w:color w:val="000000"/>
          <w:szCs w:val="21"/>
        </w:rPr>
        <w:t>参考区间和（或）医学决定水平</w:t>
      </w:r>
    </w:p>
    <w:p w14:paraId="3737B7DD">
      <w:pPr>
        <w:autoSpaceDE w:val="0"/>
        <w:autoSpaceDN w:val="0"/>
        <w:adjustRightInd w:val="0"/>
        <w:spacing w:after="125" w:line="360" w:lineRule="auto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男性：0.57～12.07 mIU/mL</w:t>
      </w:r>
    </w:p>
    <w:p w14:paraId="44BEC77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女性</w:t>
      </w:r>
      <w:r>
        <w:rPr>
          <w:rFonts w:hint="eastAsia" w:ascii="宋体" w:hAnsi="宋体" w:eastAsia="宋体" w:cs="宋体"/>
          <w:lang w:eastAsia="zh-CN"/>
        </w:rPr>
        <w:t>：</w:t>
      </w:r>
      <w:r>
        <w:rPr>
          <w:rFonts w:hint="eastAsia" w:ascii="宋体" w:hAnsi="宋体" w:eastAsia="宋体" w:cs="宋体"/>
        </w:rPr>
        <w:t>卵泡期：1.80～11.78 mIU/mL</w:t>
      </w:r>
    </w:p>
    <w:p w14:paraId="22AFF23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1050" w:firstLineChars="5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排卵期：7.59～89.08 mIU/mL </w:t>
      </w:r>
    </w:p>
    <w:p w14:paraId="01C50A1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1050" w:firstLineChars="5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黄体期：0.56～14.00 mIU/mL</w:t>
      </w:r>
    </w:p>
    <w:p w14:paraId="48EA866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1050" w:firstLineChars="5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</w:rPr>
        <w:t>绝经期：5.16～61.99 mIU/mL</w:t>
      </w:r>
    </w:p>
    <w:p w14:paraId="399FB10F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cs="黑体"/>
          <w:b/>
          <w:bCs/>
          <w:color w:val="000000"/>
          <w:szCs w:val="21"/>
        </w:rPr>
        <w:t xml:space="preserve">16 </w:t>
      </w:r>
      <w:r>
        <w:rPr>
          <w:rFonts w:hint="eastAsia" w:ascii="宋体" w:hAnsi="宋体" w:cs="黑体"/>
          <w:b/>
          <w:bCs/>
          <w:color w:val="000000"/>
          <w:szCs w:val="21"/>
        </w:rPr>
        <w:t>检验结果的可报告区间</w:t>
      </w:r>
    </w:p>
    <w:p w14:paraId="3D684EE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</w:rPr>
        <w:t>0.12～250 mIU/mL</w:t>
      </w:r>
      <w:r>
        <w:rPr>
          <w:rFonts w:hint="eastAsia" w:ascii="宋体" w:hAnsi="宋体" w:cs="宋体"/>
          <w:sz w:val="21"/>
          <w:szCs w:val="21"/>
          <w:lang w:eastAsia="zh-CN"/>
        </w:rPr>
        <w:t>。</w:t>
      </w:r>
    </w:p>
    <w:p w14:paraId="5E22B008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17 </w:t>
      </w:r>
      <w:r>
        <w:rPr>
          <w:rFonts w:hint="eastAsia" w:ascii="宋体" w:hAnsi="宋体" w:cs="黑体"/>
          <w:b/>
          <w:bCs/>
          <w:color w:val="000000"/>
          <w:szCs w:val="21"/>
        </w:rPr>
        <w:t>定量结果超出测量区间时的说明</w:t>
      </w:r>
    </w:p>
    <w:p w14:paraId="65CD6C0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sz w:val="21"/>
          <w:szCs w:val="21"/>
          <w:lang w:val="en-US" w:eastAsia="zh-CN"/>
        </w:rPr>
        <w:t>1</w:t>
      </w:r>
      <w:r>
        <w:rPr>
          <w:rFonts w:hint="eastAsia" w:ascii="宋体" w:hAnsi="宋体" w:cs="宋体"/>
          <w:b w:val="0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sz w:val="21"/>
          <w:szCs w:val="21"/>
          <w:lang w:val="en-US" w:eastAsia="zh-CN"/>
        </w:rPr>
        <w:t xml:space="preserve">.1 </w:t>
      </w:r>
      <w:r>
        <w:rPr>
          <w:rFonts w:hint="eastAsia" w:ascii="宋体" w:hAnsi="宋体" w:eastAsia="宋体" w:cs="宋体"/>
          <w:kern w:val="0"/>
          <w:sz w:val="21"/>
          <w:szCs w:val="21"/>
        </w:rPr>
        <w:t>促黄体生成素浓度大于250.00 mIU/mL(&gt;250.00 IU/L)的样本会被添加“&gt;250.00”标识</w:t>
      </w:r>
      <w:r>
        <w:rPr>
          <w:rFonts w:hint="eastAsia" w:ascii="宋体" w:hAnsi="宋体" w:eastAsia="宋体" w:cs="宋体"/>
          <w:b w:val="0"/>
          <w:sz w:val="21"/>
          <w:szCs w:val="21"/>
        </w:rPr>
        <w:t>，可以使用自动稀释程序</w:t>
      </w:r>
      <w:r>
        <w:rPr>
          <w:rFonts w:hint="eastAsia" w:ascii="宋体" w:hAnsi="宋体" w:eastAsia="宋体" w:cs="宋体"/>
          <w:b w:val="0"/>
          <w:sz w:val="21"/>
          <w:szCs w:val="21"/>
          <w:lang w:eastAsia="zh-CN"/>
        </w:rPr>
        <w:t>。</w:t>
      </w:r>
    </w:p>
    <w:p w14:paraId="3B6D5E5C">
      <w:pPr>
        <w:numPr>
          <w:ilvl w:val="0"/>
          <w:numId w:val="0"/>
        </w:num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.2 </w:t>
      </w:r>
      <w:r>
        <w:rPr>
          <w:rFonts w:hint="eastAsia" w:ascii="宋体" w:hAnsi="宋体" w:eastAsia="宋体" w:cs="宋体"/>
          <w:sz w:val="21"/>
          <w:szCs w:val="21"/>
        </w:rPr>
        <w:t>血清或血浆样本的自动稀释程序照如下方式进行：使用1: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>比例稀释血清或血浆样本。系统自动计算出样本稀释前的浓度并报告结果。</w:t>
      </w:r>
    </w:p>
    <w:p w14:paraId="5B155319">
      <w:pPr>
        <w:numPr>
          <w:ilvl w:val="0"/>
          <w:numId w:val="0"/>
        </w:num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宋体"/>
          <w:b/>
          <w:bCs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>1</w:t>
      </w:r>
      <w:r>
        <w:rPr>
          <w:rFonts w:hint="default" w:ascii="宋体" w:hAnsi="宋体" w:cs="黑体"/>
          <w:b/>
          <w:bCs/>
          <w:color w:val="000000"/>
          <w:szCs w:val="21"/>
          <w:lang w:val="en-US"/>
        </w:rPr>
        <w:t xml:space="preserve">8 </w:t>
      </w:r>
      <w:r>
        <w:rPr>
          <w:rFonts w:hint="eastAsia" w:ascii="宋体" w:hAnsi="宋体" w:cs="宋体"/>
          <w:b/>
          <w:bCs/>
          <w:szCs w:val="21"/>
        </w:rPr>
        <w:t>警示值或危急值</w:t>
      </w:r>
    </w:p>
    <w:p w14:paraId="42FD99FE">
      <w:pPr>
        <w:numPr>
          <w:ilvl w:val="0"/>
          <w:numId w:val="0"/>
        </w:num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本项目不设危急值</w:t>
      </w:r>
    </w:p>
    <w:p w14:paraId="5C21DB7E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>1</w:t>
      </w:r>
      <w:r>
        <w:rPr>
          <w:rFonts w:hint="eastAsia" w:ascii="宋体" w:hAnsi="宋体" w:cs="黑体"/>
          <w:b/>
          <w:bCs/>
          <w:color w:val="000000"/>
          <w:szCs w:val="21"/>
        </w:rPr>
        <w:t>9</w:t>
      </w:r>
      <w:r>
        <w:rPr>
          <w:rFonts w:ascii="宋体" w:hAnsi="宋体" w:cs="黑体"/>
          <w:b/>
          <w:bCs/>
          <w:color w:val="000000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000000"/>
          <w:szCs w:val="21"/>
        </w:rPr>
        <w:t>临床解释</w:t>
      </w:r>
    </w:p>
    <w:p w14:paraId="6EAB191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测定促黄体生成素的浓度对预测排卵期，诊断不孕症以及诊断垂体和性腺功能障碍有重要意义。</w:t>
      </w:r>
    </w:p>
    <w:p w14:paraId="13A0597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outlineLvl w:val="0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</w:rPr>
        <w:t>女性体内促黄体生成素浓度升高多见于原发性闭经、绝经、早发性卵巢衰竭、多囊卵巢综合征、高促性腺素性功能减退症或排卵期。男性体内促黄体生成素浓度升高可能是因为原发性睾丸衰竭、曲细精管发育不全(Klinefelter综合征)、支持细胞衰竭、无睾症或高促性腺素性功能减退症。</w:t>
      </w:r>
    </w:p>
    <w:p w14:paraId="7DFDA5D3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hint="eastAsia" w:ascii="宋体" w:hAnsi="宋体" w:cs="黑体"/>
          <w:b/>
          <w:bCs/>
          <w:color w:val="000000"/>
          <w:szCs w:val="21"/>
        </w:rPr>
        <w:t>20</w:t>
      </w:r>
      <w:r>
        <w:rPr>
          <w:rFonts w:ascii="宋体" w:hAnsi="宋体" w:cs="黑体"/>
          <w:b/>
          <w:bCs/>
          <w:color w:val="000000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000000"/>
          <w:szCs w:val="21"/>
        </w:rPr>
        <w:t>潜在变异来源</w:t>
      </w:r>
    </w:p>
    <w:p w14:paraId="6F7B753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20.1接受小鼠单克隆抗体制剂诊断或治疗的患者，其样本中可能含有</w:t>
      </w:r>
      <w:r>
        <w:rPr>
          <w:rFonts w:hint="default" w:ascii="宋体" w:hAnsi="宋体" w:eastAsia="宋体" w:cs="宋体"/>
          <w:lang w:val="en-US" w:eastAsia="zh-CN"/>
        </w:rPr>
        <w:t>人抗小鼠抗体(HAMA)。使用含有小鼠单克隆抗体的试剂盒检测此类样本时，检测值可能会假性升高或降低</w:t>
      </w:r>
      <w:r>
        <w:rPr>
          <w:rFonts w:hint="eastAsia" w:ascii="宋体" w:hAnsi="宋体" w:eastAsia="宋体" w:cs="宋体"/>
          <w:lang w:val="en-US" w:eastAsia="zh-CN"/>
        </w:rPr>
        <w:t>。</w:t>
      </w:r>
    </w:p>
    <w:p w14:paraId="161B23F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20.2</w:t>
      </w:r>
      <w:r>
        <w:rPr>
          <w:rFonts w:hint="default" w:ascii="宋体" w:hAnsi="宋体" w:eastAsia="宋体" w:cs="宋体"/>
          <w:lang w:val="en-US" w:eastAsia="zh-CN"/>
        </w:rPr>
        <w:t>人血清中的异嗜性抗体可与试剂中的免疫球蛋白发生反应，干扰</w:t>
      </w:r>
      <w:r>
        <w:rPr>
          <w:rFonts w:hint="eastAsia" w:ascii="宋体" w:hAnsi="宋体" w:eastAsia="宋体" w:cs="宋体"/>
          <w:lang w:val="en-US" w:eastAsia="zh-CN"/>
        </w:rPr>
        <w:t>体外</w:t>
      </w:r>
      <w:r>
        <w:rPr>
          <w:rFonts w:hint="default" w:ascii="宋体" w:hAnsi="宋体" w:eastAsia="宋体" w:cs="宋体"/>
          <w:lang w:val="en-US" w:eastAsia="zh-CN"/>
        </w:rPr>
        <w:t>免疫测定。经常与动物或动物血清产品接触的患者，其样本可能容易受到此干扰，并使检测结果出现异常值。</w:t>
      </w:r>
    </w:p>
    <w:p w14:paraId="4A819F01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FF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>2</w:t>
      </w:r>
      <w:r>
        <w:rPr>
          <w:rFonts w:hint="eastAsia" w:ascii="宋体" w:hAnsi="宋体" w:cs="黑体"/>
          <w:b/>
          <w:bCs/>
          <w:color w:val="000000"/>
          <w:szCs w:val="21"/>
        </w:rPr>
        <w:t>1</w:t>
      </w:r>
      <w:r>
        <w:rPr>
          <w:rFonts w:ascii="宋体" w:hAnsi="宋体" w:cs="黑体"/>
          <w:b/>
          <w:bCs/>
          <w:color w:val="000000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auto"/>
          <w:szCs w:val="21"/>
        </w:rPr>
        <w:t>检验结果报告方式</w:t>
      </w:r>
      <w:r>
        <w:rPr>
          <w:rFonts w:ascii="宋体" w:hAnsi="宋体" w:cs="黑体"/>
          <w:b/>
          <w:bCs/>
          <w:color w:val="auto"/>
          <w:szCs w:val="21"/>
        </w:rPr>
        <w:t xml:space="preserve"> </w:t>
      </w:r>
    </w:p>
    <w:tbl>
      <w:tblPr>
        <w:tblStyle w:val="13"/>
        <w:tblW w:w="4379" w:type="dxa"/>
        <w:tblInd w:w="115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804"/>
        <w:gridCol w:w="897"/>
        <w:gridCol w:w="1669"/>
      </w:tblGrid>
      <w:tr w14:paraId="6F939071">
        <w:trPr>
          <w:trHeight w:val="423" w:hRule="atLeast"/>
        </w:trPr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9BDBD5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检验项目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F163DA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347F13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结果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9FE3B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参考区间</w:t>
            </w:r>
          </w:p>
        </w:tc>
      </w:tr>
      <w:tr w14:paraId="4EFB7D46">
        <w:trPr>
          <w:trHeight w:val="410" w:hRule="atLeast"/>
        </w:trPr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B1944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总胆固醇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36889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mIU/mL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C6651E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 xml:space="preserve">4.8 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C60520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0.12～250 mIU/mL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 xml:space="preserve"> </w:t>
            </w:r>
          </w:p>
        </w:tc>
      </w:tr>
      <w:tr w14:paraId="5E89E296">
        <w:trPr>
          <w:trHeight w:val="410" w:hRule="atLeast"/>
        </w:trPr>
        <w:tc>
          <w:tcPr>
            <w:tcW w:w="43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101D660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备注：</w:t>
            </w:r>
          </w:p>
        </w:tc>
      </w:tr>
    </w:tbl>
    <w:p w14:paraId="7A6C7983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/>
          <w:color w:val="auto"/>
          <w:lang w:val="en-US" w:eastAsia="zh-CN"/>
        </w:rPr>
      </w:pPr>
      <w:r>
        <w:rPr>
          <w:rFonts w:ascii="宋体" w:hAnsi="宋体" w:cs="黑体"/>
          <w:b/>
          <w:bCs/>
          <w:color w:val="auto"/>
          <w:szCs w:val="21"/>
        </w:rPr>
        <w:t>2</w:t>
      </w:r>
      <w:r>
        <w:rPr>
          <w:rFonts w:hint="eastAsia" w:ascii="宋体" w:hAnsi="宋体" w:cs="黑体"/>
          <w:b/>
          <w:bCs/>
          <w:color w:val="auto"/>
          <w:szCs w:val="21"/>
        </w:rPr>
        <w:t>2</w:t>
      </w:r>
      <w:r>
        <w:rPr>
          <w:rFonts w:ascii="宋体" w:hAnsi="宋体" w:cs="黑体"/>
          <w:b/>
          <w:bCs/>
          <w:color w:val="auto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auto"/>
          <w:szCs w:val="21"/>
        </w:rPr>
        <w:t>参考文献</w:t>
      </w:r>
    </w:p>
    <w:p w14:paraId="7968F87A">
      <w:pPr>
        <w:pStyle w:val="37"/>
        <w:spacing w:line="360" w:lineRule="auto"/>
        <w:ind w:firstLine="420" w:firstLineChars="0"/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22.1.ARCHITECTAlinityi系统操作手册</w:t>
      </w:r>
    </w:p>
    <w:p w14:paraId="0C7132E2">
      <w:pPr>
        <w:pStyle w:val="12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22.</w:t>
      </w:r>
      <w:r>
        <w:rPr>
          <w:rFonts w:hint="default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ARCHITECTAlinityi全自动化学发光免疫分析仪操作说明书</w:t>
      </w:r>
    </w:p>
    <w:p w14:paraId="7D3049AE">
      <w:pPr>
        <w:pStyle w:val="12"/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22.</w:t>
      </w:r>
      <w:r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寇丽筠、陈宏础主编，临床基础检验</w:t>
      </w:r>
    </w:p>
    <w:p w14:paraId="537C0C62">
      <w:pPr>
        <w:autoSpaceDE w:val="0"/>
        <w:autoSpaceDN w:val="0"/>
        <w:adjustRightInd w:val="0"/>
        <w:spacing w:after="125" w:line="360" w:lineRule="auto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22.</w:t>
      </w:r>
      <w:r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尚红</w:t>
      </w:r>
      <w:r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王毓三申</w:t>
      </w:r>
      <w:r>
        <w:rPr>
          <w:rFonts w:hint="default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子瑜.全国临床检验操作规程[M].第4版.北京:人民卫生出版社,2015</w:t>
      </w:r>
    </w:p>
    <w:p w14:paraId="0C91E9AF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>2</w:t>
      </w:r>
      <w:r>
        <w:rPr>
          <w:rFonts w:hint="eastAsia" w:ascii="宋体" w:hAnsi="宋体" w:cs="黑体"/>
          <w:b/>
          <w:bCs/>
          <w:color w:val="auto"/>
          <w:szCs w:val="21"/>
        </w:rPr>
        <w:t>3</w:t>
      </w:r>
      <w:r>
        <w:rPr>
          <w:rFonts w:ascii="宋体" w:hAnsi="宋体" w:cs="黑体"/>
          <w:b/>
          <w:bCs/>
          <w:color w:val="auto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auto"/>
          <w:szCs w:val="21"/>
        </w:rPr>
        <w:t>附件或附录</w:t>
      </w:r>
    </w:p>
    <w:p w14:paraId="4B52682A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FF0000"/>
          <w:szCs w:val="21"/>
        </w:rPr>
      </w:pPr>
      <w:r>
        <w:rPr>
          <w:rFonts w:ascii="宋体" w:hAnsi="宋体" w:cs="黑体"/>
          <w:color w:val="auto"/>
          <w:szCs w:val="21"/>
        </w:rPr>
        <w:t>2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3</w:t>
      </w:r>
      <w:r>
        <w:rPr>
          <w:rFonts w:ascii="宋体" w:hAnsi="宋体" w:cs="黑体"/>
          <w:color w:val="auto"/>
          <w:szCs w:val="21"/>
        </w:rPr>
        <w:t>.1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安亭</w:t>
      </w:r>
      <w:r>
        <w:rPr>
          <w:rFonts w:hint="eastAsia" w:ascii="宋体" w:hAnsi="宋体" w:cs="宋体"/>
          <w:color w:val="auto"/>
          <w:szCs w:val="21"/>
        </w:rPr>
        <w:t>医院检验科</w:t>
      </w:r>
      <w:r>
        <w:rPr>
          <w:rFonts w:ascii="宋体" w:hAnsi="宋体" w:cstheme="minorBidi"/>
          <w:szCs w:val="21"/>
        </w:rPr>
        <w:t>编号</w:t>
      </w:r>
      <w:r>
        <w:rPr>
          <w:rFonts w:ascii="宋体" w:hAnsi="宋体" w:cstheme="minorBidi"/>
          <w:szCs w:val="21"/>
          <w:highlight w:val="red"/>
        </w:rPr>
        <w:t>XXX</w:t>
      </w:r>
      <w:r>
        <w:rPr>
          <w:rFonts w:ascii="宋体" w:hAnsi="宋体" w:cstheme="minorBidi"/>
          <w:szCs w:val="21"/>
        </w:rPr>
        <w:t>的</w:t>
      </w:r>
      <w:r>
        <w:rPr>
          <w:rFonts w:hint="eastAsia" w:ascii="宋体" w:hAnsi="宋体"/>
          <w:sz w:val="21"/>
          <w:szCs w:val="21"/>
        </w:rPr>
        <w:t>《</w:t>
      </w:r>
      <w:r>
        <w:rPr>
          <w:rFonts w:hint="eastAsia" w:ascii="宋体" w:hAnsi="宋体"/>
          <w:color w:val="000000"/>
          <w:sz w:val="21"/>
          <w:szCs w:val="21"/>
        </w:rPr>
        <w:t>ARCHITECTAlinityi全自动化学发光免疫</w:t>
      </w:r>
      <w:r>
        <w:rPr>
          <w:rFonts w:hint="eastAsia" w:ascii="宋体" w:hAnsi="宋体"/>
          <w:sz w:val="21"/>
          <w:szCs w:val="21"/>
        </w:rPr>
        <w:t>分析仪校准程序》</w:t>
      </w:r>
      <w:r>
        <w:rPr>
          <w:rFonts w:ascii="宋体" w:hAnsi="宋体" w:cstheme="minorBidi"/>
          <w:szCs w:val="21"/>
        </w:rPr>
        <w:t>。</w:t>
      </w:r>
    </w:p>
    <w:p w14:paraId="2522C718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黑体"/>
          <w:color w:val="auto"/>
          <w:szCs w:val="21"/>
          <w:lang w:val="en-US" w:eastAsia="zh-CN"/>
        </w:rPr>
        <w:t>23</w:t>
      </w:r>
      <w:r>
        <w:rPr>
          <w:rFonts w:ascii="宋体" w:hAnsi="宋体" w:cs="黑体"/>
          <w:color w:val="auto"/>
          <w:szCs w:val="21"/>
        </w:rPr>
        <w:t>.2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安亭</w:t>
      </w:r>
      <w:r>
        <w:rPr>
          <w:rFonts w:hint="eastAsia" w:ascii="宋体" w:hAnsi="宋体" w:cs="宋体"/>
          <w:color w:val="auto"/>
          <w:szCs w:val="21"/>
        </w:rPr>
        <w:t>医院检验科</w:t>
      </w:r>
      <w:r>
        <w:rPr>
          <w:rFonts w:ascii="宋体" w:hAnsi="宋体" w:cstheme="minorBidi"/>
          <w:color w:val="auto"/>
          <w:szCs w:val="21"/>
        </w:rPr>
        <w:t>编号</w:t>
      </w:r>
      <w:r>
        <w:rPr>
          <w:rFonts w:ascii="宋体" w:hAnsi="宋体" w:cs="宋体"/>
          <w:color w:val="auto"/>
          <w:szCs w:val="21"/>
          <w:highlight w:val="red"/>
        </w:rPr>
        <w:t>XXX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《ARCHITECT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微粒子化学发光免疫分析仪质控程序》</w:t>
      </w:r>
      <w:r>
        <w:rPr>
          <w:rFonts w:hint="eastAsia" w:ascii="宋体" w:hAnsi="宋体" w:cs="宋体"/>
          <w:color w:val="auto"/>
          <w:szCs w:val="21"/>
        </w:rPr>
        <w:t>。</w:t>
      </w:r>
    </w:p>
    <w:p w14:paraId="7D048D74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hint="eastAsia" w:ascii="宋体" w:hAnsi="宋体" w:cs="宋体"/>
          <w:color w:val="auto"/>
          <w:szCs w:val="21"/>
        </w:rPr>
      </w:pPr>
      <w:r>
        <w:rPr>
          <w:rFonts w:ascii="宋体" w:hAnsi="宋体" w:cs="黑体"/>
          <w:color w:val="auto"/>
          <w:szCs w:val="21"/>
        </w:rPr>
        <w:t>2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3</w:t>
      </w:r>
      <w:r>
        <w:rPr>
          <w:rFonts w:ascii="宋体" w:hAnsi="宋体" w:cs="黑体"/>
          <w:color w:val="auto"/>
          <w:szCs w:val="21"/>
        </w:rPr>
        <w:t>.3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安亭</w:t>
      </w:r>
      <w:r>
        <w:rPr>
          <w:rFonts w:hint="eastAsia" w:ascii="宋体" w:hAnsi="宋体" w:cs="宋体"/>
          <w:color w:val="auto"/>
          <w:szCs w:val="21"/>
        </w:rPr>
        <w:t>医院检验科</w:t>
      </w:r>
      <w:r>
        <w:rPr>
          <w:rFonts w:ascii="宋体" w:hAnsi="宋体" w:cstheme="minorBidi"/>
          <w:color w:val="auto"/>
          <w:szCs w:val="21"/>
        </w:rPr>
        <w:t>编号</w:t>
      </w:r>
      <w:r>
        <w:rPr>
          <w:rFonts w:ascii="宋体" w:hAnsi="宋体" w:cs="宋体"/>
          <w:color w:val="auto"/>
          <w:szCs w:val="21"/>
          <w:highlight w:val="red"/>
        </w:rPr>
        <w:t>XXX</w:t>
      </w:r>
      <w:r>
        <w:rPr>
          <w:rFonts w:hint="eastAsia" w:ascii="宋体" w:hAnsi="宋体"/>
        </w:rPr>
        <w:t>《</w:t>
      </w:r>
      <w:r>
        <w:rPr>
          <w:rFonts w:hint="eastAsia" w:ascii="宋体" w:hAnsi="宋体"/>
          <w:lang w:val="en-GB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lang w:val="en-GB"/>
        </w:rPr>
        <w:t>i全自动免疫分析仪标准操作规程</w:t>
      </w:r>
      <w:r>
        <w:rPr>
          <w:rFonts w:hint="eastAsia" w:ascii="宋体" w:hAnsi="宋体"/>
        </w:rPr>
        <w:t>》</w:t>
      </w:r>
      <w:r>
        <w:rPr>
          <w:rFonts w:hint="eastAsia" w:ascii="宋体" w:hAnsi="宋体" w:cs="宋体"/>
          <w:color w:val="auto"/>
          <w:szCs w:val="21"/>
        </w:rPr>
        <w:t>。</w:t>
      </w:r>
    </w:p>
    <w:p w14:paraId="63BC366B">
      <w:pPr>
        <w:keepNext w:val="0"/>
        <w:keepLines w:val="0"/>
        <w:widowControl/>
        <w:suppressLineNumbers w:val="0"/>
        <w:ind w:firstLine="420" w:firstLineChars="0"/>
        <w:jc w:val="both"/>
        <w:rPr>
          <w:rFonts w:hint="eastAsia" w:ascii="宋体" w:hAnsi="宋体" w:cs="宋体"/>
          <w:color w:val="auto"/>
          <w:szCs w:val="21"/>
        </w:rPr>
      </w:pPr>
      <w:r>
        <w:rPr>
          <w:rFonts w:ascii="宋体" w:hAnsi="宋体" w:cs="黑体"/>
          <w:color w:val="auto"/>
          <w:szCs w:val="21"/>
        </w:rPr>
        <w:t>2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3</w:t>
      </w:r>
      <w:r>
        <w:rPr>
          <w:rFonts w:ascii="宋体" w:hAnsi="宋体" w:cs="黑体"/>
          <w:color w:val="auto"/>
          <w:szCs w:val="21"/>
        </w:rPr>
        <w:t xml:space="preserve">.4 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 xml:space="preserve">ARCHITECT i </w:t>
      </w:r>
      <w:r>
        <w:rPr>
          <w:rFonts w:hint="default" w:ascii="宋体" w:hAnsi="宋体" w:cs="宋体"/>
          <w:color w:val="auto"/>
          <w:szCs w:val="21"/>
          <w:lang w:val="en-US" w:eastAsia="zh-CN"/>
        </w:rPr>
        <w:t>系统， Alinity i分析仪</w:t>
      </w:r>
      <w:r>
        <w:rPr>
          <w:rFonts w:hint="eastAsia" w:ascii="宋体" w:hAnsi="宋体" w:cs="宋体"/>
        </w:rPr>
        <w:t>促黄体生成素</w:t>
      </w:r>
      <w:r>
        <w:rPr>
          <w:rFonts w:hint="eastAsia" w:ascii="宋体" w:hAnsi="宋体" w:cs="宋体"/>
          <w:color w:val="auto"/>
          <w:szCs w:val="21"/>
        </w:rPr>
        <w:t>测定试剂盒使用说明书</w:t>
      </w:r>
      <w:r>
        <w:rPr>
          <w:rFonts w:hint="eastAsia" w:ascii="宋体" w:hAnsi="宋体" w:cs="宋体"/>
          <w:color w:val="auto"/>
          <w:szCs w:val="21"/>
          <w:highlight w:val="none"/>
        </w:rPr>
        <w:t>。</w:t>
      </w:r>
    </w:p>
    <w:p w14:paraId="5AF1F1F1">
      <w:pPr>
        <w:bidi w:val="0"/>
        <w:rPr>
          <w:rFonts w:hint="eastAsia" w:ascii="Times New Roman" w:hAnsi="Times New Roman" w:eastAsia="宋体" w:cs="Times New Roman"/>
          <w:color w:val="FF0000"/>
          <w:kern w:val="2"/>
          <w:sz w:val="21"/>
          <w:lang w:val="en-US" w:eastAsia="zh-CN" w:bidi="ar-SA"/>
        </w:rPr>
      </w:pPr>
    </w:p>
    <w:p w14:paraId="45DD0A59">
      <w:pPr>
        <w:bidi w:val="0"/>
        <w:rPr>
          <w:rFonts w:hint="eastAsia"/>
          <w:color w:val="FF0000"/>
          <w:lang w:val="en-US" w:eastAsia="zh-CN"/>
        </w:rPr>
      </w:pPr>
    </w:p>
    <w:p w14:paraId="11D023A2">
      <w:pPr>
        <w:tabs>
          <w:tab w:val="left" w:pos="662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color w:val="FF0000"/>
          <w:lang w:val="en-US" w:eastAsia="zh-CN"/>
        </w:rPr>
        <w:tab/>
      </w:r>
    </w:p>
    <w:sectPr>
      <w:headerReference r:id="rId3" w:type="default"/>
      <w:pgSz w:w="11906" w:h="16838"/>
      <w:pgMar w:top="2268" w:right="1418" w:bottom="1134" w:left="1418" w:header="794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A1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Helen Song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3"/>
      <w:tblW w:w="5005" w:type="pct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6" w:space="0"/>
        <w:insideV w:val="single" w:color="000000" w:sz="6" w:space="0"/>
      </w:tblBorders>
      <w:tblLayout w:type="autofit"/>
      <w:tblCellMar>
        <w:top w:w="0" w:type="dxa"/>
        <w:left w:w="0" w:type="dxa"/>
        <w:bottom w:w="0" w:type="dxa"/>
        <w:right w:w="0" w:type="dxa"/>
      </w:tblCellMar>
    </w:tblPr>
    <w:tblGrid>
      <w:gridCol w:w="1438"/>
      <w:gridCol w:w="2260"/>
      <w:gridCol w:w="2407"/>
      <w:gridCol w:w="2984"/>
    </w:tblGrid>
    <w:tr w14:paraId="22DCD41B">
      <w:trPr>
        <w:trHeight w:val="301" w:hRule="exact"/>
      </w:trPr>
      <w:tc>
        <w:tcPr>
          <w:tcW w:w="791" w:type="pct"/>
          <w:vMerge w:val="restar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shd w:val="clear" w:color="auto" w:fill="FFFFFF"/>
          <w:vAlign w:val="center"/>
        </w:tcPr>
        <w:p w14:paraId="2678065E">
          <w:pPr>
            <w:rPr>
              <w:szCs w:val="24"/>
            </w:rPr>
          </w:pPr>
          <w:r>
            <w:drawing>
              <wp:inline distT="0" distB="0" distL="0" distR="0">
                <wp:extent cx="880745" cy="855345"/>
                <wp:effectExtent l="0" t="0" r="8255" b="8255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图片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2491" cy="8574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  <w:p w14:paraId="484579D5">
          <w:pPr>
            <w:autoSpaceDE w:val="0"/>
            <w:autoSpaceDN w:val="0"/>
            <w:adjustRightInd w:val="0"/>
            <w:spacing w:line="697" w:lineRule="exact"/>
            <w:rPr>
              <w:szCs w:val="24"/>
            </w:rPr>
          </w:pPr>
        </w:p>
      </w:tc>
      <w:tc>
        <w:tcPr>
          <w:tcW w:w="4208" w:type="pct"/>
          <w:gridSpan w:val="3"/>
          <w:tcBorders>
            <w:top w:val="single" w:color="000000" w:sz="4" w:space="0"/>
            <w:left w:val="single" w:color="000000" w:sz="6" w:space="0"/>
            <w:bottom w:val="single" w:color="000000" w:sz="6" w:space="0"/>
            <w:right w:val="single" w:color="000000" w:sz="4" w:space="0"/>
          </w:tcBorders>
          <w:shd w:val="clear" w:color="auto" w:fill="FFFFFF"/>
        </w:tcPr>
        <w:p w14:paraId="398D6BA7">
          <w:pPr>
            <w:tabs>
              <w:tab w:val="left" w:pos="2972"/>
            </w:tabs>
            <w:autoSpaceDE w:val="0"/>
            <w:autoSpaceDN w:val="0"/>
            <w:adjustRightInd w:val="0"/>
            <w:spacing w:line="244" w:lineRule="exact"/>
            <w:jc w:val="center"/>
            <w:rPr>
              <w:rFonts w:hint="eastAsia" w:ascii="黑体" w:hAnsi="黑体" w:eastAsia="黑体" w:cs="宋体"/>
              <w:color w:val="000000"/>
              <w:w w:val="99"/>
              <w:kern w:val="0"/>
              <w:sz w:val="28"/>
              <w:szCs w:val="28"/>
            </w:rPr>
          </w:pPr>
          <w:r>
            <w:rPr>
              <w:rFonts w:hint="eastAsia" w:ascii="黑体" w:hAnsi="黑体" w:eastAsia="黑体" w:cs="宋体"/>
              <w:color w:val="000000"/>
              <w:w w:val="99"/>
              <w:kern w:val="0"/>
              <w:sz w:val="24"/>
              <w:szCs w:val="24"/>
            </w:rPr>
            <w:t>嘉定区安亭医院生化免疫组作业指导书</w:t>
          </w:r>
        </w:p>
      </w:tc>
    </w:tr>
    <w:tr w14:paraId="16E87EBD">
      <w:trPr>
        <w:trHeight w:val="301" w:hRule="exact"/>
      </w:trPr>
      <w:tc>
        <w:tcPr>
          <w:tcW w:w="791" w:type="pct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vAlign w:val="center"/>
        </w:tcPr>
        <w:p w14:paraId="78F00589">
          <w:pPr>
            <w:widowControl/>
            <w:jc w:val="left"/>
            <w:rPr>
              <w:szCs w:val="24"/>
            </w:rPr>
          </w:pPr>
        </w:p>
      </w:tc>
      <w:tc>
        <w:tcPr>
          <w:tcW w:w="2567" w:type="pct"/>
          <w:gridSpan w:val="2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shd w:val="clear" w:color="auto" w:fill="FFFFFF"/>
        </w:tcPr>
        <w:p w14:paraId="01136DE3">
          <w:pPr>
            <w:tabs>
              <w:tab w:val="left" w:pos="4163"/>
            </w:tabs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文件标题：</w:t>
          </w:r>
          <w:r>
            <w:rPr>
              <w:rFonts w:hint="eastAsia" w:ascii="宋体" w:hAnsi="宋体" w:cs="宋体"/>
            </w:rPr>
            <w:t>促黄体生成素标准操作规程</w:t>
          </w:r>
          <w:r>
            <w:rPr>
              <w:rFonts w:ascii="宋体" w:hAnsi="宋体" w:cs="宋体"/>
            </w:rPr>
            <w:t xml:space="preserve"> </w:t>
          </w:r>
        </w:p>
      </w:tc>
      <w:tc>
        <w:tcPr>
          <w:tcW w:w="1640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4" w:space="0"/>
          </w:tcBorders>
          <w:shd w:val="clear" w:color="auto" w:fill="FFFFFF"/>
        </w:tcPr>
        <w:p w14:paraId="0BA05098">
          <w:pPr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发行部门：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生化免疫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组</w:t>
          </w:r>
        </w:p>
      </w:tc>
    </w:tr>
    <w:tr w14:paraId="6B629F50">
      <w:trPr>
        <w:trHeight w:val="301" w:hRule="exact"/>
      </w:trPr>
      <w:tc>
        <w:tcPr>
          <w:tcW w:w="791" w:type="pct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vAlign w:val="center"/>
        </w:tcPr>
        <w:p w14:paraId="21775459">
          <w:pPr>
            <w:widowControl/>
            <w:jc w:val="left"/>
            <w:rPr>
              <w:szCs w:val="24"/>
            </w:rPr>
          </w:pPr>
        </w:p>
      </w:tc>
      <w:tc>
        <w:tcPr>
          <w:tcW w:w="2567" w:type="pct"/>
          <w:gridSpan w:val="2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shd w:val="clear" w:color="auto" w:fill="FFFFFF"/>
        </w:tcPr>
        <w:p w14:paraId="1085CE4F">
          <w:pPr>
            <w:autoSpaceDE w:val="0"/>
            <w:autoSpaceDN w:val="0"/>
            <w:adjustRightInd w:val="0"/>
            <w:spacing w:line="243" w:lineRule="exact"/>
            <w:ind w:left="108"/>
            <w:jc w:val="left"/>
            <w:rPr>
              <w:rFonts w:hint="default" w:ascii="宋体" w:hAnsi="Calibri" w:eastAsia="宋体" w:cs="宋体"/>
              <w:color w:val="000000"/>
              <w:w w:val="99"/>
              <w:kern w:val="0"/>
              <w:szCs w:val="21"/>
              <w:lang w:val="en-US" w:eastAsia="zh-CN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文件编号：ATYY-JYK-</w:t>
          </w:r>
          <w:r>
            <w:rPr>
              <w:rFonts w:hint="default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SM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-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SOP-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X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206</w:t>
          </w:r>
        </w:p>
      </w:tc>
      <w:tc>
        <w:tcPr>
          <w:tcW w:w="1640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4" w:space="0"/>
          </w:tcBorders>
          <w:shd w:val="clear" w:color="auto" w:fill="FFFFFF"/>
        </w:tcPr>
        <w:p w14:paraId="4D0EFC85">
          <w:pPr>
            <w:autoSpaceDE w:val="0"/>
            <w:autoSpaceDN w:val="0"/>
            <w:adjustRightInd w:val="0"/>
            <w:spacing w:line="243" w:lineRule="exact"/>
            <w:ind w:left="107"/>
            <w:jc w:val="left"/>
            <w:rPr>
              <w:rFonts w:hint="default" w:ascii="宋体" w:hAnsi="Calibri" w:eastAsia="宋体" w:cs="宋体"/>
              <w:color w:val="000000"/>
              <w:w w:val="99"/>
              <w:kern w:val="0"/>
              <w:szCs w:val="21"/>
              <w:lang w:val="en-US" w:eastAsia="zh-CN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编 制 人：</w:t>
          </w:r>
          <w:r>
            <w:rPr>
              <w:rFonts w:hint="eastAsia" w:ascii="宋体" w:hAnsi="宋体" w:cs="宋体"/>
              <w:lang w:val="en-US" w:eastAsia="zh-CN"/>
            </w:rPr>
            <w:t>张湘豫</w:t>
          </w:r>
        </w:p>
      </w:tc>
    </w:tr>
    <w:tr w14:paraId="0C6381EA">
      <w:trPr>
        <w:trHeight w:val="301" w:hRule="exact"/>
      </w:trPr>
      <w:tc>
        <w:tcPr>
          <w:tcW w:w="791" w:type="pct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vAlign w:val="center"/>
        </w:tcPr>
        <w:p w14:paraId="62D1990E">
          <w:pPr>
            <w:widowControl/>
            <w:jc w:val="left"/>
            <w:rPr>
              <w:szCs w:val="24"/>
            </w:rPr>
          </w:pPr>
        </w:p>
      </w:tc>
      <w:tc>
        <w:tcPr>
          <w:tcW w:w="1243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shd w:val="clear" w:color="auto" w:fill="FFFFFF"/>
        </w:tcPr>
        <w:p w14:paraId="26EF3967">
          <w:pPr>
            <w:autoSpaceDE w:val="0"/>
            <w:autoSpaceDN w:val="0"/>
            <w:adjustRightInd w:val="0"/>
            <w:spacing w:line="244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版本号：A</w:t>
          </w:r>
        </w:p>
      </w:tc>
      <w:tc>
        <w:tcPr>
          <w:tcW w:w="1323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shd w:val="clear" w:color="auto" w:fill="FFFFFF"/>
        </w:tcPr>
        <w:p w14:paraId="4C5C4797">
          <w:pPr>
            <w:autoSpaceDE w:val="0"/>
            <w:autoSpaceDN w:val="0"/>
            <w:adjustRightInd w:val="0"/>
            <w:spacing w:line="244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修订号：0</w:t>
          </w:r>
        </w:p>
      </w:tc>
      <w:tc>
        <w:tcPr>
          <w:tcW w:w="1640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4" w:space="0"/>
          </w:tcBorders>
          <w:shd w:val="clear" w:color="auto" w:fill="FFFFFF"/>
        </w:tcPr>
        <w:p w14:paraId="7DEEFB57">
          <w:pPr>
            <w:autoSpaceDE w:val="0"/>
            <w:autoSpaceDN w:val="0"/>
            <w:adjustRightInd w:val="0"/>
            <w:spacing w:line="244" w:lineRule="exact"/>
            <w:ind w:left="107"/>
            <w:jc w:val="left"/>
            <w:rPr>
              <w:rFonts w:hint="default" w:ascii="宋体" w:hAnsi="Calibri" w:eastAsia="宋体" w:cs="宋体"/>
              <w:color w:val="000000"/>
              <w:w w:val="99"/>
              <w:kern w:val="0"/>
              <w:szCs w:val="21"/>
              <w:lang w:val="en-US" w:eastAsia="zh-CN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审 核 人：</w:t>
          </w:r>
          <w:r>
            <w:rPr>
              <w:rFonts w:hint="eastAsia" w:ascii="宋体" w:hAnsi="宋体" w:cs="宋体"/>
            </w:rPr>
            <w:t>樊丽芳</w:t>
          </w:r>
        </w:p>
      </w:tc>
    </w:tr>
    <w:tr w14:paraId="7FEC66B8">
      <w:trPr>
        <w:trHeight w:val="301" w:hRule="exact"/>
      </w:trPr>
      <w:tc>
        <w:tcPr>
          <w:tcW w:w="791" w:type="pct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vAlign w:val="center"/>
        </w:tcPr>
        <w:p w14:paraId="403F0F31">
          <w:pPr>
            <w:widowControl/>
            <w:jc w:val="left"/>
            <w:rPr>
              <w:szCs w:val="24"/>
            </w:rPr>
          </w:pPr>
        </w:p>
      </w:tc>
      <w:tc>
        <w:tcPr>
          <w:tcW w:w="1243" w:type="pct"/>
          <w:tcBorders>
            <w:top w:val="single" w:color="000000" w:sz="6" w:space="0"/>
            <w:left w:val="single" w:color="000000" w:sz="6" w:space="0"/>
            <w:bottom w:val="single" w:color="000000" w:sz="4" w:space="0"/>
            <w:right w:val="single" w:color="000000" w:sz="6" w:space="0"/>
          </w:tcBorders>
          <w:shd w:val="clear" w:color="auto" w:fill="FFFFFF"/>
        </w:tcPr>
        <w:p w14:paraId="6803DE3D">
          <w:pPr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页码：第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fldChar w:fldCharType="begin"/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instrText xml:space="preserve"> PAGE   \* MERGEFORMAT </w:instrTex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fldChar w:fldCharType="separate"/>
          </w:r>
          <w:r>
            <w:rPr>
              <w:rFonts w:ascii="宋体" w:hAnsi="Calibri" w:cs="宋体"/>
              <w:color w:val="000000"/>
              <w:w w:val="99"/>
              <w:kern w:val="0"/>
              <w:szCs w:val="21"/>
            </w:rPr>
            <w:t>1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fldChar w:fldCharType="end"/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页，共1页</w:t>
          </w:r>
        </w:p>
      </w:tc>
      <w:tc>
        <w:tcPr>
          <w:tcW w:w="1323" w:type="pct"/>
          <w:tcBorders>
            <w:top w:val="single" w:color="000000" w:sz="6" w:space="0"/>
            <w:left w:val="single" w:color="000000" w:sz="6" w:space="0"/>
            <w:bottom w:val="single" w:color="000000" w:sz="4" w:space="0"/>
            <w:right w:val="single" w:color="000000" w:sz="6" w:space="0"/>
          </w:tcBorders>
          <w:shd w:val="clear" w:color="auto" w:fill="FFFFFF"/>
        </w:tcPr>
        <w:p w14:paraId="11000438">
          <w:pPr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生效日期：2025.01.01</w:t>
          </w:r>
        </w:p>
      </w:tc>
      <w:tc>
        <w:tcPr>
          <w:tcW w:w="1640" w:type="pct"/>
          <w:tcBorders>
            <w:top w:val="single" w:color="000000" w:sz="6" w:space="0"/>
            <w:left w:val="single" w:color="000000" w:sz="6" w:space="0"/>
            <w:bottom w:val="single" w:color="000000" w:sz="4" w:space="0"/>
            <w:right w:val="single" w:color="000000" w:sz="4" w:space="0"/>
          </w:tcBorders>
          <w:shd w:val="clear" w:color="auto" w:fill="FFFFFF"/>
        </w:tcPr>
        <w:p w14:paraId="1A9F63FC">
          <w:pPr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批 准 人：</w:t>
          </w:r>
        </w:p>
      </w:tc>
    </w:tr>
  </w:tbl>
  <w:p w14:paraId="55B7D35C">
    <w:pPr>
      <w:pStyle w:val="10"/>
      <w:jc w:val="both"/>
      <w:rPr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8E8CBC"/>
    <w:multiLevelType w:val="multilevel"/>
    <w:tmpl w:val="8B8E8CBC"/>
    <w:lvl w:ilvl="0" w:tentative="0">
      <w:start w:val="1"/>
      <w:numFmt w:val="decimal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B5ECC980"/>
    <w:multiLevelType w:val="multilevel"/>
    <w:tmpl w:val="B5ECC980"/>
    <w:lvl w:ilvl="0" w:tentative="0">
      <w:start w:val="1"/>
      <w:numFmt w:val="decimal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CA3A43FD"/>
    <w:multiLevelType w:val="multilevel"/>
    <w:tmpl w:val="CA3A43FD"/>
    <w:lvl w:ilvl="0" w:tentative="0">
      <w:start w:val="1"/>
      <w:numFmt w:val="decimal"/>
      <w:lvlText w:val=""/>
      <w:lvlJc w:val="left"/>
    </w:lvl>
    <w:lvl w:ilvl="1" w:tentative="0">
      <w:start w:val="1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6DC4AD01"/>
    <w:multiLevelType w:val="multilevel"/>
    <w:tmpl w:val="6DC4AD01"/>
    <w:lvl w:ilvl="0" w:tentative="0">
      <w:start w:val="1"/>
      <w:numFmt w:val="decimal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1Y2FlZTUzZGNlODkxMzEzY2EwMGJjOTkwOTc3ZjgifQ=="/>
  </w:docVars>
  <w:rsids>
    <w:rsidRoot w:val="00332EF4"/>
    <w:rsid w:val="00010BA1"/>
    <w:rsid w:val="0002060F"/>
    <w:rsid w:val="00027351"/>
    <w:rsid w:val="000304F9"/>
    <w:rsid w:val="00054100"/>
    <w:rsid w:val="00055A4E"/>
    <w:rsid w:val="0005647D"/>
    <w:rsid w:val="00060A36"/>
    <w:rsid w:val="000638A3"/>
    <w:rsid w:val="0006428C"/>
    <w:rsid w:val="00066B64"/>
    <w:rsid w:val="00070D12"/>
    <w:rsid w:val="000765C4"/>
    <w:rsid w:val="00084137"/>
    <w:rsid w:val="000844AF"/>
    <w:rsid w:val="0009430A"/>
    <w:rsid w:val="00096B17"/>
    <w:rsid w:val="000A2A12"/>
    <w:rsid w:val="000A2AC0"/>
    <w:rsid w:val="000A3D39"/>
    <w:rsid w:val="000B714F"/>
    <w:rsid w:val="000C0A43"/>
    <w:rsid w:val="000C37C4"/>
    <w:rsid w:val="000C663E"/>
    <w:rsid w:val="000D0686"/>
    <w:rsid w:val="000D29FC"/>
    <w:rsid w:val="000F1760"/>
    <w:rsid w:val="000F66AD"/>
    <w:rsid w:val="001149D7"/>
    <w:rsid w:val="001233D4"/>
    <w:rsid w:val="0012569D"/>
    <w:rsid w:val="00135890"/>
    <w:rsid w:val="001366B4"/>
    <w:rsid w:val="00143A77"/>
    <w:rsid w:val="00152BB2"/>
    <w:rsid w:val="0015354A"/>
    <w:rsid w:val="00154DD8"/>
    <w:rsid w:val="00157B6E"/>
    <w:rsid w:val="001622DB"/>
    <w:rsid w:val="00162B38"/>
    <w:rsid w:val="00170012"/>
    <w:rsid w:val="00182CF2"/>
    <w:rsid w:val="00185F71"/>
    <w:rsid w:val="00193014"/>
    <w:rsid w:val="00194018"/>
    <w:rsid w:val="001940AA"/>
    <w:rsid w:val="001A4E76"/>
    <w:rsid w:val="001B1328"/>
    <w:rsid w:val="001C7F44"/>
    <w:rsid w:val="001D3931"/>
    <w:rsid w:val="001D424D"/>
    <w:rsid w:val="001D4528"/>
    <w:rsid w:val="001D465E"/>
    <w:rsid w:val="001E11D5"/>
    <w:rsid w:val="001E2064"/>
    <w:rsid w:val="001F32ED"/>
    <w:rsid w:val="001F5834"/>
    <w:rsid w:val="00206751"/>
    <w:rsid w:val="00207CCB"/>
    <w:rsid w:val="00210BA1"/>
    <w:rsid w:val="00212D28"/>
    <w:rsid w:val="00220E25"/>
    <w:rsid w:val="0022298A"/>
    <w:rsid w:val="00222DA3"/>
    <w:rsid w:val="00230C79"/>
    <w:rsid w:val="0023404E"/>
    <w:rsid w:val="0023562B"/>
    <w:rsid w:val="00243811"/>
    <w:rsid w:val="00244015"/>
    <w:rsid w:val="00247B26"/>
    <w:rsid w:val="00252913"/>
    <w:rsid w:val="00252ADF"/>
    <w:rsid w:val="002538BD"/>
    <w:rsid w:val="00254B9E"/>
    <w:rsid w:val="002623D0"/>
    <w:rsid w:val="00262E19"/>
    <w:rsid w:val="00266AB4"/>
    <w:rsid w:val="00270C24"/>
    <w:rsid w:val="0027624E"/>
    <w:rsid w:val="002770F2"/>
    <w:rsid w:val="00286AC8"/>
    <w:rsid w:val="00290EBA"/>
    <w:rsid w:val="002951B4"/>
    <w:rsid w:val="0029527C"/>
    <w:rsid w:val="002A6574"/>
    <w:rsid w:val="002A7792"/>
    <w:rsid w:val="002B4897"/>
    <w:rsid w:val="002B6842"/>
    <w:rsid w:val="002C18EA"/>
    <w:rsid w:val="002C79F3"/>
    <w:rsid w:val="002E1083"/>
    <w:rsid w:val="002E5972"/>
    <w:rsid w:val="002E62E7"/>
    <w:rsid w:val="002F0D58"/>
    <w:rsid w:val="002F4DF3"/>
    <w:rsid w:val="002F6381"/>
    <w:rsid w:val="002F79EA"/>
    <w:rsid w:val="00306CCD"/>
    <w:rsid w:val="0031367E"/>
    <w:rsid w:val="00315BFA"/>
    <w:rsid w:val="003217BD"/>
    <w:rsid w:val="00323261"/>
    <w:rsid w:val="00326426"/>
    <w:rsid w:val="00326517"/>
    <w:rsid w:val="00332EF4"/>
    <w:rsid w:val="00333A2A"/>
    <w:rsid w:val="00335C01"/>
    <w:rsid w:val="00335F4F"/>
    <w:rsid w:val="003374AE"/>
    <w:rsid w:val="00340D38"/>
    <w:rsid w:val="00343130"/>
    <w:rsid w:val="003464BE"/>
    <w:rsid w:val="0035208B"/>
    <w:rsid w:val="003610F4"/>
    <w:rsid w:val="0036394E"/>
    <w:rsid w:val="00365782"/>
    <w:rsid w:val="003779E0"/>
    <w:rsid w:val="003813A7"/>
    <w:rsid w:val="00384940"/>
    <w:rsid w:val="003A06EC"/>
    <w:rsid w:val="003A1EC9"/>
    <w:rsid w:val="003A44FA"/>
    <w:rsid w:val="003A7F64"/>
    <w:rsid w:val="003B1369"/>
    <w:rsid w:val="003C6B2C"/>
    <w:rsid w:val="003E03C2"/>
    <w:rsid w:val="003E0508"/>
    <w:rsid w:val="003F03C3"/>
    <w:rsid w:val="003F3E3C"/>
    <w:rsid w:val="003F4B5A"/>
    <w:rsid w:val="00405380"/>
    <w:rsid w:val="004071AC"/>
    <w:rsid w:val="0042006D"/>
    <w:rsid w:val="00422F08"/>
    <w:rsid w:val="00426A42"/>
    <w:rsid w:val="00432223"/>
    <w:rsid w:val="00434280"/>
    <w:rsid w:val="00434BF1"/>
    <w:rsid w:val="00440130"/>
    <w:rsid w:val="00442DDA"/>
    <w:rsid w:val="0045015E"/>
    <w:rsid w:val="00452A85"/>
    <w:rsid w:val="00456A09"/>
    <w:rsid w:val="00456F42"/>
    <w:rsid w:val="00460591"/>
    <w:rsid w:val="00464941"/>
    <w:rsid w:val="004670A3"/>
    <w:rsid w:val="00483557"/>
    <w:rsid w:val="004875FF"/>
    <w:rsid w:val="00491683"/>
    <w:rsid w:val="00492398"/>
    <w:rsid w:val="00492A03"/>
    <w:rsid w:val="004959D7"/>
    <w:rsid w:val="004A0C3B"/>
    <w:rsid w:val="004A7209"/>
    <w:rsid w:val="004A7E46"/>
    <w:rsid w:val="004B1EA1"/>
    <w:rsid w:val="004B60CF"/>
    <w:rsid w:val="004C15A0"/>
    <w:rsid w:val="004D08FF"/>
    <w:rsid w:val="004D36C6"/>
    <w:rsid w:val="004D780E"/>
    <w:rsid w:val="004E0206"/>
    <w:rsid w:val="004E5CDF"/>
    <w:rsid w:val="0050006A"/>
    <w:rsid w:val="0051001A"/>
    <w:rsid w:val="00510D6E"/>
    <w:rsid w:val="00513669"/>
    <w:rsid w:val="00515078"/>
    <w:rsid w:val="0051572C"/>
    <w:rsid w:val="0051765C"/>
    <w:rsid w:val="005237FC"/>
    <w:rsid w:val="005305B0"/>
    <w:rsid w:val="00531B11"/>
    <w:rsid w:val="0053382A"/>
    <w:rsid w:val="005424CC"/>
    <w:rsid w:val="00550217"/>
    <w:rsid w:val="00553D0F"/>
    <w:rsid w:val="00553F2A"/>
    <w:rsid w:val="00555EA5"/>
    <w:rsid w:val="005616C2"/>
    <w:rsid w:val="00561F54"/>
    <w:rsid w:val="00563BE9"/>
    <w:rsid w:val="00564398"/>
    <w:rsid w:val="00567F37"/>
    <w:rsid w:val="00570CD8"/>
    <w:rsid w:val="00572897"/>
    <w:rsid w:val="00575440"/>
    <w:rsid w:val="0057547A"/>
    <w:rsid w:val="005767F4"/>
    <w:rsid w:val="005851CD"/>
    <w:rsid w:val="005924AB"/>
    <w:rsid w:val="005A2B78"/>
    <w:rsid w:val="005A3C40"/>
    <w:rsid w:val="005A7FC1"/>
    <w:rsid w:val="005B0B02"/>
    <w:rsid w:val="005B110B"/>
    <w:rsid w:val="005C42AE"/>
    <w:rsid w:val="005C6E3E"/>
    <w:rsid w:val="005D3D9C"/>
    <w:rsid w:val="005D3E69"/>
    <w:rsid w:val="005D6B6F"/>
    <w:rsid w:val="005E3BDD"/>
    <w:rsid w:val="005F1F67"/>
    <w:rsid w:val="00601960"/>
    <w:rsid w:val="00634B1A"/>
    <w:rsid w:val="00636FF2"/>
    <w:rsid w:val="00637890"/>
    <w:rsid w:val="00641814"/>
    <w:rsid w:val="00654311"/>
    <w:rsid w:val="00665BB9"/>
    <w:rsid w:val="00671F1B"/>
    <w:rsid w:val="00673ECE"/>
    <w:rsid w:val="0067437E"/>
    <w:rsid w:val="006745D9"/>
    <w:rsid w:val="006751B3"/>
    <w:rsid w:val="006801D2"/>
    <w:rsid w:val="006977D0"/>
    <w:rsid w:val="006A2D88"/>
    <w:rsid w:val="006A4505"/>
    <w:rsid w:val="006A7426"/>
    <w:rsid w:val="006B3702"/>
    <w:rsid w:val="006B3D22"/>
    <w:rsid w:val="006C1A82"/>
    <w:rsid w:val="006C2F1D"/>
    <w:rsid w:val="006C498F"/>
    <w:rsid w:val="006C7255"/>
    <w:rsid w:val="006D036F"/>
    <w:rsid w:val="006D3308"/>
    <w:rsid w:val="006E145D"/>
    <w:rsid w:val="006E1DB1"/>
    <w:rsid w:val="006E38E4"/>
    <w:rsid w:val="006F07FB"/>
    <w:rsid w:val="006F5A07"/>
    <w:rsid w:val="006F5E17"/>
    <w:rsid w:val="006F6E46"/>
    <w:rsid w:val="006F7C8C"/>
    <w:rsid w:val="00715870"/>
    <w:rsid w:val="00715D70"/>
    <w:rsid w:val="00716D52"/>
    <w:rsid w:val="00722870"/>
    <w:rsid w:val="00727432"/>
    <w:rsid w:val="00736302"/>
    <w:rsid w:val="0074066F"/>
    <w:rsid w:val="00747210"/>
    <w:rsid w:val="00750CF7"/>
    <w:rsid w:val="00770F1A"/>
    <w:rsid w:val="00775B17"/>
    <w:rsid w:val="00776379"/>
    <w:rsid w:val="00783FAD"/>
    <w:rsid w:val="00784B6C"/>
    <w:rsid w:val="0079725A"/>
    <w:rsid w:val="00797F8B"/>
    <w:rsid w:val="007A3043"/>
    <w:rsid w:val="007A3803"/>
    <w:rsid w:val="007A5A44"/>
    <w:rsid w:val="007A7D26"/>
    <w:rsid w:val="007B15F6"/>
    <w:rsid w:val="007B5940"/>
    <w:rsid w:val="007B628E"/>
    <w:rsid w:val="007B7616"/>
    <w:rsid w:val="007C294D"/>
    <w:rsid w:val="007D3381"/>
    <w:rsid w:val="007D338A"/>
    <w:rsid w:val="007D4F70"/>
    <w:rsid w:val="007E231B"/>
    <w:rsid w:val="007F1705"/>
    <w:rsid w:val="007F1B61"/>
    <w:rsid w:val="007F2679"/>
    <w:rsid w:val="007F4F9B"/>
    <w:rsid w:val="0080213C"/>
    <w:rsid w:val="008029EF"/>
    <w:rsid w:val="00805F0B"/>
    <w:rsid w:val="00810404"/>
    <w:rsid w:val="00811F4F"/>
    <w:rsid w:val="00812243"/>
    <w:rsid w:val="00814030"/>
    <w:rsid w:val="00820D0E"/>
    <w:rsid w:val="00827747"/>
    <w:rsid w:val="00837A10"/>
    <w:rsid w:val="008432E3"/>
    <w:rsid w:val="008536FA"/>
    <w:rsid w:val="00854930"/>
    <w:rsid w:val="008611CE"/>
    <w:rsid w:val="008805EF"/>
    <w:rsid w:val="008853CC"/>
    <w:rsid w:val="00892602"/>
    <w:rsid w:val="0089368D"/>
    <w:rsid w:val="0089594A"/>
    <w:rsid w:val="008A3895"/>
    <w:rsid w:val="008B4950"/>
    <w:rsid w:val="008B5229"/>
    <w:rsid w:val="008C3D8F"/>
    <w:rsid w:val="008C54F2"/>
    <w:rsid w:val="008D0843"/>
    <w:rsid w:val="008D7691"/>
    <w:rsid w:val="008E1498"/>
    <w:rsid w:val="008F1931"/>
    <w:rsid w:val="008F1AE1"/>
    <w:rsid w:val="008F7F7E"/>
    <w:rsid w:val="00901282"/>
    <w:rsid w:val="0090448C"/>
    <w:rsid w:val="00921AD6"/>
    <w:rsid w:val="009351DE"/>
    <w:rsid w:val="00940C35"/>
    <w:rsid w:val="00941B6B"/>
    <w:rsid w:val="009451F4"/>
    <w:rsid w:val="00945ECE"/>
    <w:rsid w:val="0094701E"/>
    <w:rsid w:val="0094709D"/>
    <w:rsid w:val="009500FB"/>
    <w:rsid w:val="00951B39"/>
    <w:rsid w:val="00956F4B"/>
    <w:rsid w:val="00962A9A"/>
    <w:rsid w:val="00965D8C"/>
    <w:rsid w:val="0096748F"/>
    <w:rsid w:val="00976E36"/>
    <w:rsid w:val="00981ACF"/>
    <w:rsid w:val="00983450"/>
    <w:rsid w:val="00990E40"/>
    <w:rsid w:val="0099182C"/>
    <w:rsid w:val="009A5C04"/>
    <w:rsid w:val="009A76E2"/>
    <w:rsid w:val="009B068E"/>
    <w:rsid w:val="009B1EC6"/>
    <w:rsid w:val="009C1390"/>
    <w:rsid w:val="009D516B"/>
    <w:rsid w:val="009D530D"/>
    <w:rsid w:val="009D655B"/>
    <w:rsid w:val="009E5646"/>
    <w:rsid w:val="009E56FD"/>
    <w:rsid w:val="00A07F1B"/>
    <w:rsid w:val="00A125D7"/>
    <w:rsid w:val="00A16D2C"/>
    <w:rsid w:val="00A27481"/>
    <w:rsid w:val="00A322EC"/>
    <w:rsid w:val="00A4088B"/>
    <w:rsid w:val="00A43D83"/>
    <w:rsid w:val="00A61D11"/>
    <w:rsid w:val="00A62074"/>
    <w:rsid w:val="00A65318"/>
    <w:rsid w:val="00A7742E"/>
    <w:rsid w:val="00A81292"/>
    <w:rsid w:val="00A82065"/>
    <w:rsid w:val="00A87A17"/>
    <w:rsid w:val="00A87B1F"/>
    <w:rsid w:val="00A90B32"/>
    <w:rsid w:val="00A91DB8"/>
    <w:rsid w:val="00AA0E90"/>
    <w:rsid w:val="00AA5DF0"/>
    <w:rsid w:val="00AA5E56"/>
    <w:rsid w:val="00AA6945"/>
    <w:rsid w:val="00AA6D76"/>
    <w:rsid w:val="00AB563F"/>
    <w:rsid w:val="00AC2A5A"/>
    <w:rsid w:val="00AD2A14"/>
    <w:rsid w:val="00AE0E2E"/>
    <w:rsid w:val="00B012EA"/>
    <w:rsid w:val="00B03F92"/>
    <w:rsid w:val="00B0406F"/>
    <w:rsid w:val="00B064D9"/>
    <w:rsid w:val="00B06D68"/>
    <w:rsid w:val="00B07D63"/>
    <w:rsid w:val="00B10DD8"/>
    <w:rsid w:val="00B31337"/>
    <w:rsid w:val="00B32806"/>
    <w:rsid w:val="00B34453"/>
    <w:rsid w:val="00B356B6"/>
    <w:rsid w:val="00B37302"/>
    <w:rsid w:val="00B41381"/>
    <w:rsid w:val="00B41F21"/>
    <w:rsid w:val="00B45DE5"/>
    <w:rsid w:val="00B47F9F"/>
    <w:rsid w:val="00B65A0E"/>
    <w:rsid w:val="00B707AA"/>
    <w:rsid w:val="00B7775D"/>
    <w:rsid w:val="00B77C1C"/>
    <w:rsid w:val="00B82437"/>
    <w:rsid w:val="00B90080"/>
    <w:rsid w:val="00B90BA3"/>
    <w:rsid w:val="00B91DD4"/>
    <w:rsid w:val="00B94B16"/>
    <w:rsid w:val="00BA06BB"/>
    <w:rsid w:val="00BA44B7"/>
    <w:rsid w:val="00BA4814"/>
    <w:rsid w:val="00BB2DF9"/>
    <w:rsid w:val="00BB3919"/>
    <w:rsid w:val="00BC31DB"/>
    <w:rsid w:val="00BC55FE"/>
    <w:rsid w:val="00BC755A"/>
    <w:rsid w:val="00BF3870"/>
    <w:rsid w:val="00C125C2"/>
    <w:rsid w:val="00C13AA7"/>
    <w:rsid w:val="00C17052"/>
    <w:rsid w:val="00C20CCC"/>
    <w:rsid w:val="00C22097"/>
    <w:rsid w:val="00C246F5"/>
    <w:rsid w:val="00C31C92"/>
    <w:rsid w:val="00C35AA5"/>
    <w:rsid w:val="00C3729C"/>
    <w:rsid w:val="00C4415B"/>
    <w:rsid w:val="00C45A9C"/>
    <w:rsid w:val="00C50976"/>
    <w:rsid w:val="00C56BF6"/>
    <w:rsid w:val="00C62374"/>
    <w:rsid w:val="00C65B76"/>
    <w:rsid w:val="00C87EF7"/>
    <w:rsid w:val="00C90BAF"/>
    <w:rsid w:val="00C933B3"/>
    <w:rsid w:val="00C97EE7"/>
    <w:rsid w:val="00CA7A94"/>
    <w:rsid w:val="00CB06DF"/>
    <w:rsid w:val="00CB1012"/>
    <w:rsid w:val="00CB177C"/>
    <w:rsid w:val="00CB3288"/>
    <w:rsid w:val="00CB438F"/>
    <w:rsid w:val="00CD1A9B"/>
    <w:rsid w:val="00CD2C31"/>
    <w:rsid w:val="00CD4D6C"/>
    <w:rsid w:val="00CE1A7D"/>
    <w:rsid w:val="00CE210C"/>
    <w:rsid w:val="00CE29AA"/>
    <w:rsid w:val="00CE4C4D"/>
    <w:rsid w:val="00CF0231"/>
    <w:rsid w:val="00CF6545"/>
    <w:rsid w:val="00D04786"/>
    <w:rsid w:val="00D04D4F"/>
    <w:rsid w:val="00D173E7"/>
    <w:rsid w:val="00D2244E"/>
    <w:rsid w:val="00D23B41"/>
    <w:rsid w:val="00D53348"/>
    <w:rsid w:val="00D55E9C"/>
    <w:rsid w:val="00D62AAD"/>
    <w:rsid w:val="00D64C1E"/>
    <w:rsid w:val="00D65263"/>
    <w:rsid w:val="00D67EFF"/>
    <w:rsid w:val="00D7367A"/>
    <w:rsid w:val="00D739D0"/>
    <w:rsid w:val="00D8242B"/>
    <w:rsid w:val="00D9131B"/>
    <w:rsid w:val="00D94A84"/>
    <w:rsid w:val="00D971E1"/>
    <w:rsid w:val="00DA0CD4"/>
    <w:rsid w:val="00DA2FA0"/>
    <w:rsid w:val="00DB7A53"/>
    <w:rsid w:val="00DD416A"/>
    <w:rsid w:val="00DE29BE"/>
    <w:rsid w:val="00DE4F37"/>
    <w:rsid w:val="00DF639D"/>
    <w:rsid w:val="00E019CC"/>
    <w:rsid w:val="00E2529B"/>
    <w:rsid w:val="00E25B74"/>
    <w:rsid w:val="00E27FFA"/>
    <w:rsid w:val="00E3199B"/>
    <w:rsid w:val="00E3307D"/>
    <w:rsid w:val="00E45EF6"/>
    <w:rsid w:val="00E467C9"/>
    <w:rsid w:val="00E507B6"/>
    <w:rsid w:val="00E613E6"/>
    <w:rsid w:val="00E63718"/>
    <w:rsid w:val="00E67233"/>
    <w:rsid w:val="00E867E2"/>
    <w:rsid w:val="00E91859"/>
    <w:rsid w:val="00E9592B"/>
    <w:rsid w:val="00EB33D5"/>
    <w:rsid w:val="00EB5BF9"/>
    <w:rsid w:val="00EB7443"/>
    <w:rsid w:val="00EB7CD5"/>
    <w:rsid w:val="00EC7C1F"/>
    <w:rsid w:val="00ED0849"/>
    <w:rsid w:val="00ED1A28"/>
    <w:rsid w:val="00ED760D"/>
    <w:rsid w:val="00EE58E2"/>
    <w:rsid w:val="00EE6B72"/>
    <w:rsid w:val="00EF068A"/>
    <w:rsid w:val="00EF159A"/>
    <w:rsid w:val="00EF1E5A"/>
    <w:rsid w:val="00EF21BF"/>
    <w:rsid w:val="00EF3B45"/>
    <w:rsid w:val="00EF477B"/>
    <w:rsid w:val="00EF76F3"/>
    <w:rsid w:val="00F00D26"/>
    <w:rsid w:val="00F067F2"/>
    <w:rsid w:val="00F13C5E"/>
    <w:rsid w:val="00F26ABA"/>
    <w:rsid w:val="00F27613"/>
    <w:rsid w:val="00F3318C"/>
    <w:rsid w:val="00F50067"/>
    <w:rsid w:val="00F50663"/>
    <w:rsid w:val="00F60AE3"/>
    <w:rsid w:val="00F62706"/>
    <w:rsid w:val="00F6406C"/>
    <w:rsid w:val="00F719AA"/>
    <w:rsid w:val="00F71FCE"/>
    <w:rsid w:val="00F76634"/>
    <w:rsid w:val="00F845F3"/>
    <w:rsid w:val="00F91A38"/>
    <w:rsid w:val="00FA3CC2"/>
    <w:rsid w:val="00FB20F6"/>
    <w:rsid w:val="00FC712B"/>
    <w:rsid w:val="00FD0945"/>
    <w:rsid w:val="00FD0B43"/>
    <w:rsid w:val="00FD17CF"/>
    <w:rsid w:val="00FD2B28"/>
    <w:rsid w:val="00FD3EFD"/>
    <w:rsid w:val="00FE0B04"/>
    <w:rsid w:val="00FE3F68"/>
    <w:rsid w:val="00FE7072"/>
    <w:rsid w:val="00FF406A"/>
    <w:rsid w:val="00FF7624"/>
    <w:rsid w:val="01351051"/>
    <w:rsid w:val="03702E31"/>
    <w:rsid w:val="0506001C"/>
    <w:rsid w:val="057264AC"/>
    <w:rsid w:val="05911A48"/>
    <w:rsid w:val="06E33268"/>
    <w:rsid w:val="082D6EDB"/>
    <w:rsid w:val="08A00739"/>
    <w:rsid w:val="093C039E"/>
    <w:rsid w:val="0A7B4BFE"/>
    <w:rsid w:val="0C8E16BE"/>
    <w:rsid w:val="0CBA160A"/>
    <w:rsid w:val="0E564BC0"/>
    <w:rsid w:val="0EE943A1"/>
    <w:rsid w:val="1136791A"/>
    <w:rsid w:val="140627C6"/>
    <w:rsid w:val="16590D6F"/>
    <w:rsid w:val="190B48E9"/>
    <w:rsid w:val="193A2207"/>
    <w:rsid w:val="198C31CC"/>
    <w:rsid w:val="1A196854"/>
    <w:rsid w:val="1B174AA3"/>
    <w:rsid w:val="1BC3D6E4"/>
    <w:rsid w:val="1BD01CDC"/>
    <w:rsid w:val="1BEA426E"/>
    <w:rsid w:val="1E2468E7"/>
    <w:rsid w:val="1E2C4B39"/>
    <w:rsid w:val="1F6E5258"/>
    <w:rsid w:val="21786DF7"/>
    <w:rsid w:val="21B66370"/>
    <w:rsid w:val="22C0487C"/>
    <w:rsid w:val="230322A3"/>
    <w:rsid w:val="24F81C8F"/>
    <w:rsid w:val="25BA40AE"/>
    <w:rsid w:val="267E3932"/>
    <w:rsid w:val="289B19CD"/>
    <w:rsid w:val="28D04376"/>
    <w:rsid w:val="29DF0939"/>
    <w:rsid w:val="2A2C7FF1"/>
    <w:rsid w:val="2ACE35F7"/>
    <w:rsid w:val="2B5B656A"/>
    <w:rsid w:val="2C5F0D8F"/>
    <w:rsid w:val="2D7B3137"/>
    <w:rsid w:val="2E93017E"/>
    <w:rsid w:val="2EAD646E"/>
    <w:rsid w:val="2ED00DAA"/>
    <w:rsid w:val="2F9E31D8"/>
    <w:rsid w:val="2FFFB269"/>
    <w:rsid w:val="30016080"/>
    <w:rsid w:val="301414F4"/>
    <w:rsid w:val="3072267A"/>
    <w:rsid w:val="32674562"/>
    <w:rsid w:val="32F0684A"/>
    <w:rsid w:val="33CD5CEB"/>
    <w:rsid w:val="366227D0"/>
    <w:rsid w:val="37952335"/>
    <w:rsid w:val="38AB00F5"/>
    <w:rsid w:val="38BB09B7"/>
    <w:rsid w:val="39D84678"/>
    <w:rsid w:val="3B426332"/>
    <w:rsid w:val="3B93D818"/>
    <w:rsid w:val="3BDE5F11"/>
    <w:rsid w:val="3C794E08"/>
    <w:rsid w:val="3CB02637"/>
    <w:rsid w:val="3CF4125E"/>
    <w:rsid w:val="3CFC4845"/>
    <w:rsid w:val="3D496598"/>
    <w:rsid w:val="3DEE77A3"/>
    <w:rsid w:val="3DF781BF"/>
    <w:rsid w:val="3E9259FE"/>
    <w:rsid w:val="3EAD4C74"/>
    <w:rsid w:val="40641249"/>
    <w:rsid w:val="40900DDE"/>
    <w:rsid w:val="409E7494"/>
    <w:rsid w:val="40DB57E4"/>
    <w:rsid w:val="43947AD2"/>
    <w:rsid w:val="45173DA8"/>
    <w:rsid w:val="4533011A"/>
    <w:rsid w:val="459D1510"/>
    <w:rsid w:val="45F75F15"/>
    <w:rsid w:val="473B028C"/>
    <w:rsid w:val="49DC0855"/>
    <w:rsid w:val="49DEB73E"/>
    <w:rsid w:val="4A4B3E05"/>
    <w:rsid w:val="4A9F624B"/>
    <w:rsid w:val="4B3A7F60"/>
    <w:rsid w:val="4B711D41"/>
    <w:rsid w:val="4C747A5E"/>
    <w:rsid w:val="4DABB08E"/>
    <w:rsid w:val="4E33621E"/>
    <w:rsid w:val="4F7B3E0D"/>
    <w:rsid w:val="50D36397"/>
    <w:rsid w:val="51646721"/>
    <w:rsid w:val="535B5879"/>
    <w:rsid w:val="537500B1"/>
    <w:rsid w:val="553E1DDE"/>
    <w:rsid w:val="57323D5B"/>
    <w:rsid w:val="5975DF32"/>
    <w:rsid w:val="5A2713C5"/>
    <w:rsid w:val="5B5402D8"/>
    <w:rsid w:val="5BE1146F"/>
    <w:rsid w:val="5BFC9E99"/>
    <w:rsid w:val="5C0558C7"/>
    <w:rsid w:val="5C7A51B6"/>
    <w:rsid w:val="5D224731"/>
    <w:rsid w:val="5DD71AD0"/>
    <w:rsid w:val="5EA619AA"/>
    <w:rsid w:val="5EBD2634"/>
    <w:rsid w:val="5FEFAEAA"/>
    <w:rsid w:val="62452E7C"/>
    <w:rsid w:val="626F0CE7"/>
    <w:rsid w:val="65DD7790"/>
    <w:rsid w:val="66867B10"/>
    <w:rsid w:val="68DA6FE3"/>
    <w:rsid w:val="697B6DB5"/>
    <w:rsid w:val="6A466370"/>
    <w:rsid w:val="6B1A0BC6"/>
    <w:rsid w:val="6BA319BD"/>
    <w:rsid w:val="6BABB983"/>
    <w:rsid w:val="6BEBC8DE"/>
    <w:rsid w:val="6C7B71F3"/>
    <w:rsid w:val="6D196D62"/>
    <w:rsid w:val="6D262970"/>
    <w:rsid w:val="6DE3FED1"/>
    <w:rsid w:val="6E0C4C99"/>
    <w:rsid w:val="6E5B093F"/>
    <w:rsid w:val="6E746F94"/>
    <w:rsid w:val="6F851661"/>
    <w:rsid w:val="6FAB894D"/>
    <w:rsid w:val="6FF89FD5"/>
    <w:rsid w:val="70B8483E"/>
    <w:rsid w:val="714313D9"/>
    <w:rsid w:val="714A0C4D"/>
    <w:rsid w:val="71AC4E84"/>
    <w:rsid w:val="76DF1725"/>
    <w:rsid w:val="77A244F9"/>
    <w:rsid w:val="79360180"/>
    <w:rsid w:val="7A7157E4"/>
    <w:rsid w:val="7B6B3846"/>
    <w:rsid w:val="7C2E1453"/>
    <w:rsid w:val="7D6C302E"/>
    <w:rsid w:val="7DC25022"/>
    <w:rsid w:val="7E173C19"/>
    <w:rsid w:val="7EF2F3F9"/>
    <w:rsid w:val="7F75ACA3"/>
    <w:rsid w:val="7FDF549E"/>
    <w:rsid w:val="7FEE9BDF"/>
    <w:rsid w:val="9E5D7E38"/>
    <w:rsid w:val="AFAEE73A"/>
    <w:rsid w:val="B7BFAD5D"/>
    <w:rsid w:val="BA3D545D"/>
    <w:rsid w:val="C7FE5B01"/>
    <w:rsid w:val="CFFF1363"/>
    <w:rsid w:val="D2F6C329"/>
    <w:rsid w:val="DAFB0FF9"/>
    <w:rsid w:val="E3BC33EF"/>
    <w:rsid w:val="EA9EBEA7"/>
    <w:rsid w:val="ED7CFFA9"/>
    <w:rsid w:val="EEB7132B"/>
    <w:rsid w:val="F7C77E76"/>
    <w:rsid w:val="F7FAB92E"/>
    <w:rsid w:val="F995FA05"/>
    <w:rsid w:val="FCDB0E93"/>
    <w:rsid w:val="FD6BAF16"/>
    <w:rsid w:val="FFAF3A1E"/>
    <w:rsid w:val="FFDEB4FB"/>
    <w:rsid w:val="FFFBF4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1" w:semiHidden="0" w:name="heading 2" w:locked="1"/>
    <w:lsdException w:qFormat="1" w:unhideWhenUsed="0" w:uiPriority="99" w:semiHidden="0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qFormat="1" w:unhideWhenUsed="0" w:uiPriority="99" w:semiHidden="0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 w:locked="1"/>
    <w:lsdException w:unhideWhenUsed="0" w:uiPriority="0" w:semiHidden="0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qFormat="1" w:unhideWhenUsed="0" w:uiPriority="0" w:semiHidden="0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 w:locked="1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keepNext/>
      <w:keepLines/>
      <w:spacing w:beforeLines="50" w:line="300" w:lineRule="auto"/>
      <w:ind w:left="420" w:right="-147" w:rightChars="-70"/>
      <w:jc w:val="center"/>
      <w:outlineLvl w:val="0"/>
    </w:pPr>
    <w:rPr>
      <w:rFonts w:ascii="宋体" w:hAnsi="宋体"/>
      <w:b/>
      <w:sz w:val="32"/>
      <w:szCs w:val="32"/>
    </w:rPr>
  </w:style>
  <w:style w:type="paragraph" w:styleId="3">
    <w:name w:val="heading 2"/>
    <w:basedOn w:val="1"/>
    <w:next w:val="1"/>
    <w:qFormat/>
    <w:locked/>
    <w:uiPriority w:val="1"/>
    <w:pPr>
      <w:spacing w:before="161"/>
      <w:ind w:left="1268" w:hanging="728"/>
      <w:outlineLvl w:val="1"/>
    </w:pPr>
    <w:rPr>
      <w:rFonts w:ascii="宋体" w:hAnsi="宋体" w:cs="宋体"/>
      <w:b/>
      <w:bCs/>
      <w:sz w:val="24"/>
      <w:szCs w:val="24"/>
      <w:lang w:eastAsia="en-US" w:bidi="en-US"/>
    </w:rPr>
  </w:style>
  <w:style w:type="paragraph" w:styleId="4">
    <w:name w:val="heading 3"/>
    <w:basedOn w:val="1"/>
    <w:next w:val="1"/>
    <w:link w:val="32"/>
    <w:qFormat/>
    <w:locked/>
    <w:uiPriority w:val="99"/>
    <w:pPr>
      <w:keepNext/>
      <w:spacing w:line="360" w:lineRule="auto"/>
      <w:outlineLvl w:val="2"/>
    </w:pPr>
    <w:rPr>
      <w:b/>
      <w:sz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34"/>
    <w:qFormat/>
    <w:locked/>
    <w:uiPriority w:val="99"/>
    <w:pPr>
      <w:jc w:val="center"/>
    </w:pPr>
    <w:rPr>
      <w:b/>
      <w:sz w:val="32"/>
      <w:szCs w:val="32"/>
    </w:rPr>
  </w:style>
  <w:style w:type="paragraph" w:styleId="6">
    <w:name w:val="Body Text"/>
    <w:basedOn w:val="1"/>
    <w:link w:val="29"/>
    <w:qFormat/>
    <w:locked/>
    <w:uiPriority w:val="99"/>
    <w:pPr>
      <w:shd w:val="clear" w:color="auto" w:fill="FFFFFF"/>
      <w:spacing w:before="660" w:after="420" w:line="240" w:lineRule="atLeast"/>
      <w:ind w:hanging="580"/>
      <w:jc w:val="left"/>
    </w:pPr>
    <w:rPr>
      <w:kern w:val="0"/>
      <w:sz w:val="24"/>
      <w:shd w:val="clear" w:color="auto" w:fill="FFFFFF"/>
    </w:rPr>
  </w:style>
  <w:style w:type="paragraph" w:styleId="7">
    <w:name w:val="Body Text Indent"/>
    <w:basedOn w:val="1"/>
    <w:locked/>
    <w:uiPriority w:val="0"/>
    <w:pPr>
      <w:spacing w:line="360" w:lineRule="exact"/>
      <w:ind w:right="-153" w:rightChars="-73" w:firstLine="480" w:firstLineChars="200"/>
    </w:pPr>
    <w:rPr>
      <w:rFonts w:ascii="Times New Roman" w:hAnsi="Times New Roman"/>
      <w:sz w:val="24"/>
      <w:szCs w:val="24"/>
    </w:rPr>
  </w:style>
  <w:style w:type="paragraph" w:styleId="8">
    <w:name w:val="Balloon Text"/>
    <w:basedOn w:val="1"/>
    <w:link w:val="18"/>
    <w:qFormat/>
    <w:uiPriority w:val="99"/>
    <w:rPr>
      <w:sz w:val="18"/>
      <w:szCs w:val="18"/>
    </w:rPr>
  </w:style>
  <w:style w:type="paragraph" w:styleId="9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semiHidden/>
    <w:unhideWhenUsed/>
    <w:qFormat/>
    <w:locked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2">
    <w:name w:val="Body Text First Indent 2"/>
    <w:basedOn w:val="7"/>
    <w:qFormat/>
    <w:locked/>
    <w:uiPriority w:val="0"/>
    <w:pPr>
      <w:ind w:firstLine="420" w:firstLineChars="200"/>
    </w:pPr>
  </w:style>
  <w:style w:type="table" w:styleId="14">
    <w:name w:val="Table Grid"/>
    <w:basedOn w:val="13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6">
    <w:name w:val="Hyperlink"/>
    <w:basedOn w:val="15"/>
    <w:qFormat/>
    <w:locked/>
    <w:uiPriority w:val="99"/>
    <w:rPr>
      <w:rFonts w:cs="Times New Roman"/>
      <w:color w:val="0000FF"/>
      <w:u w:val="single"/>
    </w:rPr>
  </w:style>
  <w:style w:type="character" w:customStyle="1" w:styleId="17">
    <w:name w:val="Heading 3 Char"/>
    <w:basedOn w:val="15"/>
    <w:semiHidden/>
    <w:qFormat/>
    <w:locked/>
    <w:uiPriority w:val="99"/>
    <w:rPr>
      <w:rFonts w:cs="Times New Roman"/>
      <w:b/>
      <w:bCs/>
      <w:sz w:val="32"/>
      <w:szCs w:val="32"/>
    </w:rPr>
  </w:style>
  <w:style w:type="character" w:customStyle="1" w:styleId="18">
    <w:name w:val="批注框文本 字符"/>
    <w:basedOn w:val="15"/>
    <w:link w:val="8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9">
    <w:name w:val="Footer Char"/>
    <w:basedOn w:val="15"/>
    <w:semiHidden/>
    <w:qFormat/>
    <w:locked/>
    <w:uiPriority w:val="99"/>
    <w:rPr>
      <w:rFonts w:cs="Times New Roman"/>
      <w:sz w:val="18"/>
      <w:szCs w:val="18"/>
    </w:rPr>
  </w:style>
  <w:style w:type="character" w:customStyle="1" w:styleId="20">
    <w:name w:val="页眉 字符"/>
    <w:basedOn w:val="15"/>
    <w:link w:val="10"/>
    <w:semiHidden/>
    <w:qFormat/>
    <w:locked/>
    <w:uiPriority w:val="99"/>
    <w:rPr>
      <w:rFonts w:cs="Times New Roman"/>
      <w:sz w:val="18"/>
      <w:szCs w:val="18"/>
    </w:rPr>
  </w:style>
  <w:style w:type="paragraph" w:customStyle="1" w:styleId="21">
    <w:name w:val="列出段落1"/>
    <w:basedOn w:val="1"/>
    <w:qFormat/>
    <w:uiPriority w:val="99"/>
    <w:pPr>
      <w:ind w:firstLine="420" w:firstLineChars="200"/>
    </w:pPr>
  </w:style>
  <w:style w:type="character" w:customStyle="1" w:styleId="22">
    <w:name w:val="页脚 字符"/>
    <w:link w:val="9"/>
    <w:qFormat/>
    <w:locked/>
    <w:uiPriority w:val="99"/>
    <w:rPr>
      <w:rFonts w:eastAsia="宋体"/>
      <w:kern w:val="2"/>
      <w:sz w:val="18"/>
      <w:lang w:val="en-US" w:eastAsia="zh-CN"/>
    </w:rPr>
  </w:style>
  <w:style w:type="character" w:customStyle="1" w:styleId="23">
    <w:name w:val="目录_"/>
    <w:link w:val="24"/>
    <w:qFormat/>
    <w:locked/>
    <w:uiPriority w:val="99"/>
    <w:rPr>
      <w:rFonts w:ascii="宋体" w:eastAsia="宋体"/>
      <w:sz w:val="23"/>
      <w:shd w:val="clear" w:color="auto" w:fill="FFFFFF"/>
    </w:rPr>
  </w:style>
  <w:style w:type="paragraph" w:customStyle="1" w:styleId="24">
    <w:name w:val="目录1"/>
    <w:basedOn w:val="1"/>
    <w:link w:val="23"/>
    <w:qFormat/>
    <w:uiPriority w:val="99"/>
    <w:pPr>
      <w:shd w:val="clear" w:color="auto" w:fill="FFFFFF"/>
      <w:spacing w:before="540" w:after="180" w:line="240" w:lineRule="atLeast"/>
      <w:jc w:val="distribute"/>
    </w:pPr>
    <w:rPr>
      <w:rFonts w:ascii="宋体"/>
      <w:kern w:val="0"/>
      <w:sz w:val="23"/>
      <w:shd w:val="clear" w:color="auto" w:fill="FFFFFF"/>
    </w:rPr>
  </w:style>
  <w:style w:type="character" w:customStyle="1" w:styleId="25">
    <w:name w:val="Body Text Char1"/>
    <w:qFormat/>
    <w:locked/>
    <w:uiPriority w:val="99"/>
    <w:rPr>
      <w:rFonts w:ascii="宋体" w:eastAsia="宋体"/>
      <w:sz w:val="23"/>
      <w:shd w:val="clear" w:color="auto" w:fill="FFFFFF"/>
    </w:rPr>
  </w:style>
  <w:style w:type="character" w:customStyle="1" w:styleId="26">
    <w:name w:val="正文文本 + Batang"/>
    <w:qFormat/>
    <w:uiPriority w:val="99"/>
    <w:rPr>
      <w:rFonts w:ascii="Batang" w:hAnsi="宋体" w:eastAsia="Batang"/>
      <w:b/>
      <w:sz w:val="21"/>
      <w:shd w:val="clear" w:color="auto" w:fill="FFFFFF"/>
      <w:lang w:val="en-US" w:eastAsia="en-US"/>
    </w:rPr>
  </w:style>
  <w:style w:type="character" w:customStyle="1" w:styleId="27">
    <w:name w:val="Body Text Char"/>
    <w:qFormat/>
    <w:locked/>
    <w:uiPriority w:val="99"/>
    <w:rPr>
      <w:sz w:val="24"/>
      <w:shd w:val="clear" w:color="auto" w:fill="FFFFFF"/>
    </w:rPr>
  </w:style>
  <w:style w:type="character" w:customStyle="1" w:styleId="28">
    <w:name w:val="Body Text Char2"/>
    <w:basedOn w:val="15"/>
    <w:semiHidden/>
    <w:qFormat/>
    <w:locked/>
    <w:uiPriority w:val="99"/>
    <w:rPr>
      <w:rFonts w:cs="Times New Roman"/>
      <w:sz w:val="20"/>
      <w:szCs w:val="20"/>
    </w:rPr>
  </w:style>
  <w:style w:type="character" w:customStyle="1" w:styleId="29">
    <w:name w:val="正文文本 字符1"/>
    <w:basedOn w:val="15"/>
    <w:link w:val="6"/>
    <w:semiHidden/>
    <w:qFormat/>
    <w:locked/>
    <w:uiPriority w:val="99"/>
    <w:rPr>
      <w:rFonts w:cs="Times New Roman"/>
      <w:sz w:val="20"/>
      <w:szCs w:val="20"/>
    </w:rPr>
  </w:style>
  <w:style w:type="paragraph" w:customStyle="1" w:styleId="30">
    <w:name w:val="Normal_0"/>
    <w:qFormat/>
    <w:uiPriority w:val="99"/>
    <w:rPr>
      <w:rFonts w:ascii="Times New Roman" w:hAnsi="Times New Roman" w:eastAsia="等线" w:cs="Times New Roman"/>
      <w:sz w:val="24"/>
      <w:szCs w:val="24"/>
      <w:lang w:val="en-US" w:eastAsia="zh-CN" w:bidi="ar-SA"/>
    </w:rPr>
  </w:style>
  <w:style w:type="character" w:customStyle="1" w:styleId="31">
    <w:name w:val="正文文本 Char"/>
    <w:qFormat/>
    <w:uiPriority w:val="99"/>
    <w:rPr>
      <w:rFonts w:ascii="Times New Roman" w:hAnsi="Times New Roman"/>
      <w:kern w:val="2"/>
      <w:sz w:val="24"/>
    </w:rPr>
  </w:style>
  <w:style w:type="character" w:customStyle="1" w:styleId="32">
    <w:name w:val="标题 3 字符"/>
    <w:link w:val="4"/>
    <w:semiHidden/>
    <w:qFormat/>
    <w:locked/>
    <w:uiPriority w:val="99"/>
    <w:rPr>
      <w:rFonts w:eastAsia="宋体"/>
      <w:b/>
      <w:kern w:val="2"/>
      <w:sz w:val="32"/>
      <w:lang w:val="en-US" w:eastAsia="zh-CN"/>
    </w:rPr>
  </w:style>
  <w:style w:type="character" w:customStyle="1" w:styleId="33">
    <w:name w:val="正文文本 字符"/>
    <w:qFormat/>
    <w:locked/>
    <w:uiPriority w:val="99"/>
    <w:rPr>
      <w:rFonts w:ascii="宋体" w:eastAsia="宋体"/>
      <w:sz w:val="23"/>
      <w:shd w:val="clear" w:color="auto" w:fill="FFFFFF"/>
    </w:rPr>
  </w:style>
  <w:style w:type="character" w:customStyle="1" w:styleId="34">
    <w:name w:val="批注文字 字符"/>
    <w:basedOn w:val="15"/>
    <w:link w:val="5"/>
    <w:semiHidden/>
    <w:qFormat/>
    <w:locked/>
    <w:uiPriority w:val="99"/>
    <w:rPr>
      <w:rFonts w:cs="Times New Roman"/>
      <w:sz w:val="20"/>
      <w:szCs w:val="20"/>
    </w:rPr>
  </w:style>
  <w:style w:type="paragraph" w:customStyle="1" w:styleId="35">
    <w:name w:val="列表段落1"/>
    <w:basedOn w:val="1"/>
    <w:qFormat/>
    <w:uiPriority w:val="99"/>
    <w:pPr>
      <w:ind w:firstLine="420" w:firstLineChars="200"/>
    </w:pPr>
    <w:rPr>
      <w:sz w:val="24"/>
      <w:szCs w:val="24"/>
    </w:rPr>
  </w:style>
  <w:style w:type="paragraph" w:styleId="36">
    <w:name w:val="List Paragraph"/>
    <w:basedOn w:val="1"/>
    <w:qFormat/>
    <w:uiPriority w:val="99"/>
    <w:pPr>
      <w:ind w:firstLine="420" w:firstLineChars="200"/>
    </w:pPr>
  </w:style>
  <w:style w:type="paragraph" w:styleId="3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38">
    <w:name w:val="_Style 26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3165</Words>
  <Characters>4080</Characters>
  <Lines>30</Lines>
  <Paragraphs>8</Paragraphs>
  <TotalTime>0</TotalTime>
  <ScaleCrop>false</ScaleCrop>
  <LinksUpToDate>false</LinksUpToDate>
  <CharactersWithSpaces>4263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2023-03-25T23:48:00Z</dcterms:created>
  <dc:creator>微软用户</dc:creator>
  <cp:lastModifiedBy>Shea</cp:lastModifiedBy>
  <cp:lastPrinted>2024-10-17T19:06:00Z</cp:lastPrinted>
  <dcterms:modified xsi:type="dcterms:W3CDTF">2024-11-19T17:48:49Z</dcterms:modified>
  <dc:title>1 目的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0D3DC5C8FAF590CAD18B256707E932B8_43</vt:lpwstr>
  </property>
</Properties>
</file>